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header2.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ascii="Verdana" w:hAnsi="Verdana" w:cs="Arial"/>
          <w:b/>
          <w:bCs/>
          <w:szCs w:val="20"/>
        </w:rPr>
      </w:pPr>
      <w:r>
        <w:rPr>
          <w:rFonts w:cs="Arial" w:ascii="Verdana" w:hAnsi="Verdana"/>
          <w:b/>
          <w:bCs/>
          <w:szCs w:val="20"/>
        </w:rPr>
        <w:t xml:space="preserve"> </w:t>
      </w:r>
    </w:p>
    <w:p>
      <w:pPr>
        <w:pStyle w:val="Normal"/>
        <w:spacing w:lineRule="auto" w:line="276"/>
        <w:jc w:val="center"/>
        <w:rPr>
          <w:rFonts w:ascii="Verdana" w:hAnsi="Verdana" w:cs="Arial"/>
          <w:b/>
          <w:bCs/>
          <w:szCs w:val="20"/>
        </w:rPr>
      </w:pPr>
      <w:r>
        <w:rPr>
          <w:rFonts w:cs="Arial" w:ascii="Verdana" w:hAnsi="Verdana"/>
          <w:b/>
          <w:bCs/>
          <w:szCs w:val="20"/>
        </w:rPr>
        <w:t>AVISO DE DISPENSA ELETRÔNICA Nº 018/2026</w:t>
      </w:r>
    </w:p>
    <w:p>
      <w:pPr>
        <w:pStyle w:val="Normal"/>
        <w:spacing w:lineRule="auto" w:line="276"/>
        <w:jc w:val="center"/>
        <w:rPr>
          <w:rFonts w:ascii="Verdana" w:hAnsi="Verdana" w:cs="Arial"/>
          <w:b/>
          <w:bCs/>
          <w:szCs w:val="20"/>
        </w:rPr>
      </w:pPr>
      <w:r>
        <w:rPr>
          <w:rFonts w:cs="Arial" w:ascii="Verdana" w:hAnsi="Verdana"/>
          <w:b/>
          <w:bCs/>
          <w:szCs w:val="20"/>
        </w:rPr>
        <w:t xml:space="preserve">(Processo Administrativo n.º </w:t>
      </w:r>
      <w:r>
        <w:rPr>
          <w:rFonts w:ascii="Verdana" w:hAnsi="Verdana"/>
          <w:b/>
          <w:bCs/>
          <w:smallCaps/>
          <w:szCs w:val="20"/>
        </w:rPr>
        <w:t>00002985/2026 de 30/04/2026</w:t>
      </w:r>
      <w:r>
        <w:rPr>
          <w:rFonts w:cs="Arial" w:ascii="Verdana" w:hAnsi="Verdana"/>
          <w:b/>
          <w:bCs/>
          <w:szCs w:val="20"/>
        </w:rPr>
        <w:t>)</w:t>
      </w:r>
    </w:p>
    <w:p>
      <w:pPr>
        <w:pStyle w:val="Normal"/>
        <w:spacing w:lineRule="auto" w:line="276"/>
        <w:jc w:val="center"/>
        <w:rPr>
          <w:rFonts w:ascii="Verdana" w:hAnsi="Verdana" w:cs="Arial"/>
          <w:b/>
          <w:bCs/>
          <w:szCs w:val="20"/>
        </w:rPr>
      </w:pPr>
      <w:r>
        <w:rPr>
          <w:rFonts w:cs="Arial" w:ascii="Verdana" w:hAnsi="Verdana"/>
          <w:b/>
          <w:bCs/>
          <w:szCs w:val="20"/>
        </w:rPr>
        <w:t>ID CIDADES: 2026.065E0700001.09.0013</w:t>
      </w:r>
    </w:p>
    <w:p>
      <w:pPr>
        <w:pStyle w:val="Normal"/>
        <w:spacing w:lineRule="auto" w:line="276"/>
        <w:rPr>
          <w:rFonts w:ascii="Verdana" w:hAnsi="Verdana" w:cs="Arial"/>
          <w:sz w:val="18"/>
          <w:szCs w:val="18"/>
        </w:rPr>
      </w:pPr>
      <w:r>
        <w:rPr>
          <w:rFonts w:cs="Arial" w:ascii="Verdana" w:hAnsi="Verdana"/>
          <w:sz w:val="18"/>
          <w:szCs w:val="18"/>
        </w:rPr>
      </w:r>
    </w:p>
    <w:p>
      <w:pPr>
        <w:pStyle w:val="Normal"/>
        <w:snapToGrid w:val="false"/>
        <w:spacing w:lineRule="auto" w:line="276" w:before="0" w:after="120"/>
        <w:ind w:firstLine="540" w:right="-30"/>
        <w:jc w:val="both"/>
        <w:rPr>
          <w:rFonts w:ascii="Verdana" w:hAnsi="Verdana"/>
          <w:szCs w:val="20"/>
        </w:rPr>
      </w:pPr>
      <w:r>
        <w:rPr>
          <w:rFonts w:cs="Arial" w:ascii="Verdana" w:hAnsi="Verdana"/>
          <w:szCs w:val="20"/>
        </w:rPr>
        <w:t>Torna-se público que o(a)</w:t>
      </w:r>
      <w:r>
        <w:rPr>
          <w:rFonts w:eastAsia="Arial" w:cs="Arial" w:ascii="Verdana" w:hAnsi="Verdana"/>
          <w:szCs w:val="20"/>
        </w:rPr>
        <w:t xml:space="preserve"> a Prefeitura Municipal de São Gabriel da Palha-ES</w:t>
      </w:r>
      <w:r>
        <w:rPr>
          <w:rFonts w:cs="Arial" w:ascii="Verdana" w:hAnsi="Verdana"/>
          <w:szCs w:val="20"/>
        </w:rPr>
        <w:t xml:space="preserve">, por meio da </w:t>
      </w:r>
      <w:bookmarkStart w:id="0" w:name="_Hlk182315366"/>
      <w:r>
        <w:rPr>
          <w:rFonts w:cs="Arial" w:ascii="Verdana" w:hAnsi="Verdana"/>
          <w:szCs w:val="20"/>
        </w:rPr>
        <w:t xml:space="preserve">Secretaria Municipal de </w:t>
      </w:r>
      <w:bookmarkEnd w:id="0"/>
      <w:r>
        <w:rPr>
          <w:rFonts w:cs="Arial" w:ascii="Verdana" w:hAnsi="Verdana"/>
          <w:szCs w:val="20"/>
        </w:rPr>
        <w:t xml:space="preserve">Cultura e Arte, realizará Dispensa Eletrônica, </w:t>
      </w:r>
      <w:r>
        <w:rPr>
          <w:rFonts w:cs="Arial" w:ascii="Verdana" w:hAnsi="Verdana"/>
          <w:bCs/>
          <w:szCs w:val="20"/>
        </w:rPr>
        <w:t xml:space="preserve">com critério de julgamento </w:t>
      </w:r>
      <w:r>
        <w:rPr>
          <w:rFonts w:cs="Arial" w:ascii="Verdana" w:hAnsi="Verdana"/>
          <w:b/>
          <w:bCs/>
          <w:i/>
          <w:szCs w:val="20"/>
        </w:rPr>
        <w:t xml:space="preserve">menor preço global, </w:t>
      </w:r>
      <w:r>
        <w:rPr>
          <w:rFonts w:cs="Arial" w:ascii="Verdana" w:hAnsi="Verdana"/>
          <w:szCs w:val="20"/>
        </w:rPr>
        <w:t>na hipótese do art. 75</w:t>
      </w:r>
      <w:r>
        <w:rPr>
          <w:rFonts w:cs="Arial" w:ascii="Verdana" w:hAnsi="Verdana"/>
          <w:i/>
          <w:iCs/>
          <w:szCs w:val="20"/>
        </w:rPr>
        <w:t>, Inciso</w:t>
      </w:r>
      <w:r>
        <w:rPr>
          <w:rFonts w:cs="Arial" w:ascii="Verdana" w:hAnsi="Verdana"/>
          <w:b/>
          <w:i/>
          <w:iCs/>
          <w:szCs w:val="20"/>
        </w:rPr>
        <w:t xml:space="preserve"> II</w:t>
      </w:r>
      <w:r>
        <w:rPr>
          <w:rFonts w:cs="Arial" w:ascii="Verdana" w:hAnsi="Verdana"/>
          <w:i/>
          <w:iCs/>
          <w:szCs w:val="20"/>
        </w:rPr>
        <w:t>,</w:t>
      </w:r>
      <w:r>
        <w:rPr>
          <w:rFonts w:cs="Arial" w:ascii="Verdana" w:hAnsi="Verdana"/>
          <w:szCs w:val="20"/>
        </w:rPr>
        <w:t xml:space="preserve"> </w:t>
      </w:r>
      <w:r>
        <w:rPr>
          <w:rFonts w:cs="Arial" w:ascii="Verdana" w:hAnsi="Verdana"/>
          <w:bCs/>
          <w:szCs w:val="20"/>
        </w:rPr>
        <w:t>nos termos da Lei nº 14.133, de 1º de abril de 2021, e demais legislação aplicável</w:t>
      </w:r>
      <w:r>
        <w:rPr>
          <w:rFonts w:cs="Arial" w:ascii="Verdana" w:hAnsi="Verdana"/>
          <w:szCs w:val="20"/>
        </w:rPr>
        <w:t>.</w:t>
      </w:r>
    </w:p>
    <w:p>
      <w:pPr>
        <w:pStyle w:val="Normal"/>
        <w:spacing w:lineRule="auto" w:line="276"/>
        <w:jc w:val="both"/>
        <w:rPr>
          <w:rFonts w:ascii="Verdana" w:hAnsi="Verdana" w:cs="Arial"/>
          <w:sz w:val="18"/>
          <w:szCs w:val="18"/>
        </w:rPr>
      </w:pPr>
      <w:r>
        <w:rPr>
          <w:rFonts w:cs="Arial" w:ascii="Verdana" w:hAnsi="Verdana"/>
          <w:sz w:val="18"/>
          <w:szCs w:val="18"/>
        </w:rPr>
      </w:r>
    </w:p>
    <w:p>
      <w:pPr>
        <w:pStyle w:val="Normal"/>
        <w:spacing w:lineRule="auto" w:line="276"/>
        <w:jc w:val="both"/>
        <w:rPr>
          <w:rFonts w:ascii="Verdana" w:hAnsi="Verdana" w:cs="Arial"/>
          <w:b/>
          <w:bCs/>
          <w:szCs w:val="20"/>
        </w:rPr>
      </w:pPr>
      <w:r>
        <w:rPr>
          <w:rFonts w:cs="Arial" w:ascii="Verdana" w:hAnsi="Verdana"/>
          <w:b/>
          <w:bCs/>
          <w:szCs w:val="20"/>
        </w:rPr>
        <w:t>Data da sessão: 15/05/2026.</w:t>
      </w:r>
    </w:p>
    <w:p>
      <w:pPr>
        <w:pStyle w:val="Normal"/>
        <w:spacing w:lineRule="auto" w:line="276"/>
        <w:rPr>
          <w:rFonts w:ascii="Verdana" w:hAnsi="Verdana" w:cs="Arial"/>
          <w:b/>
          <w:bCs/>
          <w:szCs w:val="20"/>
        </w:rPr>
      </w:pPr>
      <w:r>
        <w:rPr>
          <w:rFonts w:cs="Arial" w:ascii="Verdana" w:hAnsi="Verdana"/>
          <w:b/>
          <w:bCs/>
          <w:szCs w:val="20"/>
        </w:rPr>
        <w:t xml:space="preserve">Link: </w:t>
      </w:r>
      <w:hyperlink r:id="rId2">
        <w:r>
          <w:rPr>
            <w:rStyle w:val="Hyperlink"/>
            <w:rFonts w:ascii="Verdana" w:hAnsi="Verdana"/>
            <w:b/>
            <w:bCs/>
            <w:color w:val="auto"/>
            <w:szCs w:val="20"/>
          </w:rPr>
          <w:t>www.portaldecompraspublicas.com.br</w:t>
        </w:r>
      </w:hyperlink>
    </w:p>
    <w:p>
      <w:pPr>
        <w:pStyle w:val="Normal"/>
        <w:spacing w:lineRule="auto" w:line="276"/>
        <w:rPr>
          <w:rFonts w:ascii="Verdana" w:hAnsi="Verdana" w:cs="Arial"/>
          <w:b/>
          <w:bCs/>
          <w:szCs w:val="20"/>
        </w:rPr>
      </w:pPr>
      <w:r>
        <w:rPr>
          <w:rFonts w:cs="Arial" w:ascii="Verdana" w:hAnsi="Verdana"/>
          <w:b/>
          <w:bCs/>
          <w:szCs w:val="20"/>
        </w:rPr>
        <w:t>Horário da Fase de Lances: 08h00min as 14h00min.</w:t>
      </w:r>
    </w:p>
    <w:p>
      <w:pPr>
        <w:pStyle w:val="Normal"/>
        <w:spacing w:lineRule="auto" w:line="276"/>
        <w:rPr>
          <w:rFonts w:ascii="Verdana" w:hAnsi="Verdana" w:cs="Arial"/>
          <w:sz w:val="18"/>
          <w:szCs w:val="18"/>
        </w:rPr>
      </w:pPr>
      <w:r>
        <w:rPr>
          <w:rFonts w:cs="Arial" w:ascii="Verdana" w:hAnsi="Verdana"/>
          <w:sz w:val="18"/>
          <w:szCs w:val="18"/>
        </w:rPr>
      </w:r>
    </w:p>
    <w:p>
      <w:pPr>
        <w:pStyle w:val="PADRO"/>
        <w:keepNext w:val="false"/>
        <w:widowControl/>
        <w:numPr>
          <w:ilvl w:val="0"/>
          <w:numId w:val="1"/>
        </w:numPr>
        <w:shd w:val="clear" w:color="auto" w:fill="auto"/>
        <w:spacing w:before="120" w:after="0"/>
        <w:rPr>
          <w:rFonts w:ascii="Verdana" w:hAnsi="Verdana" w:cs="Arial"/>
          <w:b/>
          <w:szCs w:val="20"/>
        </w:rPr>
      </w:pPr>
      <w:r>
        <w:rPr>
          <w:rFonts w:cs="Arial" w:ascii="Verdana" w:hAnsi="Verdana"/>
          <w:b/>
          <w:szCs w:val="20"/>
        </w:rPr>
        <w:t>OBJETO DA CONTRATAÇÃO DIRETA</w:t>
      </w:r>
    </w:p>
    <w:p>
      <w:pPr>
        <w:pStyle w:val="PADRO"/>
        <w:keepNext w:val="false"/>
        <w:widowControl/>
        <w:shd w:val="clear" w:color="auto" w:fill="auto"/>
        <w:tabs>
          <w:tab w:val="clear" w:pos="708"/>
          <w:tab w:val="left" w:pos="284" w:leader="none"/>
          <w:tab w:val="left" w:pos="426" w:leader="none"/>
        </w:tabs>
        <w:bidi w:val="0"/>
        <w:spacing w:before="120" w:after="120"/>
        <w:ind w:hanging="0" w:left="0"/>
        <w:rPr>
          <w:rFonts w:ascii="Verdana" w:hAnsi="Verdana" w:cs="Arial"/>
          <w:szCs w:val="20"/>
        </w:rPr>
      </w:pPr>
      <w:r>
        <w:rPr>
          <w:rFonts w:cs="Arial" w:ascii="Verdana" w:hAnsi="Verdana"/>
          <w:szCs w:val="20"/>
        </w:rPr>
        <w:t xml:space="preserve">O objeto da presente dispensa é a escolha da proposta mais vantajosa para </w:t>
      </w:r>
      <w:bookmarkStart w:id="1" w:name="_Hlk158284997"/>
      <w:r>
        <w:rPr>
          <w:rFonts w:cs="Arial" w:ascii="Verdana" w:hAnsi="Verdana"/>
          <w:szCs w:val="20"/>
        </w:rPr>
        <w:t xml:space="preserve">a </w:t>
      </w:r>
      <w:bookmarkStart w:id="2" w:name="_Hlk224050259"/>
      <w:bookmarkStart w:id="3" w:name="_Hlk229061559"/>
      <w:bookmarkEnd w:id="1"/>
      <w:r>
        <w:rPr>
          <w:rFonts w:ascii="Verdana" w:hAnsi="Verdana"/>
          <w:iCs/>
          <w:szCs w:val="20"/>
        </w:rPr>
        <w:t xml:space="preserve">Contratação de empresa especializada para prestação de serviços de segurança </w:t>
      </w:r>
      <w:r>
        <w:rPr>
          <w:rFonts w:eastAsia="Arial" w:cs="Arial" w:ascii="Verdana" w:hAnsi="Verdana"/>
          <w:iCs/>
          <w:szCs w:val="20"/>
        </w:rPr>
        <w:t xml:space="preserve">privada para atuação durante as festividades de comemoração dos </w:t>
      </w:r>
      <w:r>
        <w:rPr>
          <w:rFonts w:eastAsia="Arial" w:cs="Arial" w:ascii="Verdana" w:hAnsi="Verdana"/>
          <w:b/>
          <w:bCs/>
          <w:iCs/>
          <w:szCs w:val="20"/>
        </w:rPr>
        <w:t>63 anos de emancipação político-administrativa do Município de São Gabriel da Palha/ES</w:t>
      </w:r>
      <w:r>
        <w:rPr>
          <w:rFonts w:eastAsia="Arial" w:cs="Arial" w:ascii="Verdana" w:hAnsi="Verdana"/>
          <w:iCs/>
          <w:szCs w:val="20"/>
        </w:rPr>
        <w:t xml:space="preserve">, a serem realizadas nos dias </w:t>
      </w:r>
      <w:r>
        <w:rPr>
          <w:rFonts w:eastAsia="Arial" w:cs="Arial" w:ascii="Verdana" w:hAnsi="Verdana"/>
          <w:b/>
          <w:bCs/>
          <w:iCs/>
          <w:szCs w:val="20"/>
        </w:rPr>
        <w:t>14, 15, 16 e 17 de maio de 2026</w:t>
      </w:r>
      <w:r>
        <w:rPr>
          <w:rFonts w:ascii="Verdana" w:hAnsi="Verdana"/>
          <w:iCs/>
          <w:szCs w:val="20"/>
        </w:rPr>
        <w:t xml:space="preserve">, atendendo as necessidades da Secretaria Municipal de </w:t>
      </w:r>
      <w:bookmarkEnd w:id="3"/>
      <w:r>
        <w:rPr>
          <w:rFonts w:ascii="Verdana" w:hAnsi="Verdana"/>
          <w:iCs/>
          <w:szCs w:val="20"/>
        </w:rPr>
        <w:t>Cultura e Arte</w:t>
      </w:r>
      <w:r>
        <w:rPr>
          <w:rFonts w:cs="Verdana" w:ascii="Verdana" w:hAnsi="Verdana"/>
          <w:szCs w:val="20"/>
        </w:rPr>
        <w:t>,</w:t>
      </w:r>
      <w:r>
        <w:rPr>
          <w:rFonts w:cs="Arial" w:ascii="Verdana" w:hAnsi="Verdana"/>
          <w:szCs w:val="20"/>
        </w:rPr>
        <w:t xml:space="preserve"> conforme condições, quantidades e exigências estabelecidas neste Aviso de Contratação Direta e seus anexos.</w:t>
      </w:r>
      <w:bookmarkEnd w:id="2"/>
    </w:p>
    <w:tbl>
      <w:tblPr>
        <w:tblW w:w="9869" w:type="dxa"/>
        <w:jc w:val="left"/>
        <w:tblInd w:w="151" w:type="dxa"/>
        <w:tblLayout w:type="fixed"/>
        <w:tblCellMar>
          <w:top w:w="0" w:type="dxa"/>
          <w:left w:w="108" w:type="dxa"/>
          <w:bottom w:w="0" w:type="dxa"/>
          <w:right w:w="108" w:type="dxa"/>
        </w:tblCellMar>
        <w:tblLook w:val="04a0" w:firstRow="1" w:noVBand="1" w:lastRow="0" w:firstColumn="1" w:lastColumn="0" w:noHBand="0"/>
      </w:tblPr>
      <w:tblGrid>
        <w:gridCol w:w="979"/>
        <w:gridCol w:w="6986"/>
        <w:gridCol w:w="936"/>
        <w:gridCol w:w="968"/>
      </w:tblGrid>
      <w:tr>
        <w:trPr/>
        <w:tc>
          <w:tcPr>
            <w:tcW w:w="9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b/>
                <w:bCs/>
                <w:szCs w:val="20"/>
              </w:rPr>
            </w:pPr>
            <w:r>
              <w:rPr>
                <w:rFonts w:ascii="Verdana" w:hAnsi="Verdana"/>
                <w:b/>
                <w:bCs/>
                <w:szCs w:val="20"/>
              </w:rPr>
            </w:r>
          </w:p>
          <w:p>
            <w:pPr>
              <w:pStyle w:val="Normal"/>
              <w:widowControl w:val="false"/>
              <w:spacing w:lineRule="auto" w:line="276"/>
              <w:jc w:val="center"/>
              <w:rPr>
                <w:rFonts w:ascii="Verdana" w:hAnsi="Verdana"/>
                <w:szCs w:val="20"/>
              </w:rPr>
            </w:pPr>
            <w:r>
              <w:rPr>
                <w:rFonts w:cs="Times New Roman" w:ascii="Verdana" w:hAnsi="Verdana"/>
                <w:b/>
                <w:bCs/>
                <w:szCs w:val="20"/>
              </w:rPr>
              <w:t>ITEM</w:t>
            </w:r>
          </w:p>
          <w:p>
            <w:pPr>
              <w:pStyle w:val="Normal"/>
              <w:widowControl w:val="false"/>
              <w:spacing w:lineRule="auto" w:line="276"/>
              <w:jc w:val="center"/>
              <w:rPr>
                <w:rFonts w:ascii="Verdana" w:hAnsi="Verdana" w:cs="Arial"/>
                <w:b/>
                <w:szCs w:val="20"/>
                <w:u w:val="single"/>
              </w:rPr>
            </w:pPr>
            <w:r>
              <w:rPr>
                <w:rFonts w:cs="Arial" w:ascii="Verdana" w:hAnsi="Verdana"/>
                <w:b/>
                <w:szCs w:val="20"/>
                <w:u w:val="single"/>
              </w:rPr>
            </w:r>
          </w:p>
        </w:tc>
        <w:tc>
          <w:tcPr>
            <w:tcW w:w="69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Cs w:val="20"/>
              </w:rPr>
            </w:pPr>
            <w:r>
              <w:rPr>
                <w:rFonts w:ascii="Verdana" w:hAnsi="Verdana"/>
                <w:szCs w:val="20"/>
              </w:rPr>
            </w:r>
          </w:p>
          <w:p>
            <w:pPr>
              <w:pStyle w:val="Normal"/>
              <w:widowControl w:val="false"/>
              <w:spacing w:lineRule="auto" w:line="276"/>
              <w:jc w:val="center"/>
              <w:rPr>
                <w:rFonts w:ascii="Verdana" w:hAnsi="Verdana"/>
                <w:szCs w:val="20"/>
              </w:rPr>
            </w:pPr>
            <w:r>
              <w:rPr>
                <w:rFonts w:ascii="Verdana" w:hAnsi="Verdana"/>
                <w:b/>
                <w:bCs/>
                <w:szCs w:val="20"/>
              </w:rPr>
              <w:t>ESPECIFICAÇÃO</w:t>
            </w:r>
          </w:p>
        </w:tc>
        <w:tc>
          <w:tcPr>
            <w:tcW w:w="93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Cs w:val="20"/>
              </w:rPr>
            </w:pPr>
            <w:r>
              <w:rPr>
                <w:rFonts w:ascii="Verdana" w:hAnsi="Verdana"/>
                <w:b/>
                <w:bCs/>
                <w:szCs w:val="20"/>
              </w:rPr>
              <w:t>UNID</w:t>
            </w:r>
          </w:p>
        </w:tc>
        <w:tc>
          <w:tcPr>
            <w:tcW w:w="96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center"/>
              <w:rPr>
                <w:rFonts w:ascii="Verdana" w:hAnsi="Verdana"/>
                <w:szCs w:val="20"/>
              </w:rPr>
            </w:pPr>
            <w:r>
              <w:rPr>
                <w:rFonts w:cs="Times New Roman" w:ascii="Verdana" w:hAnsi="Verdana"/>
                <w:b/>
                <w:bCs/>
                <w:szCs w:val="20"/>
              </w:rPr>
              <w:t>QTDE</w:t>
            </w:r>
          </w:p>
        </w:tc>
      </w:tr>
      <w:tr>
        <w:trPr/>
        <w:tc>
          <w:tcPr>
            <w:tcW w:w="9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76"/>
              <w:jc w:val="both"/>
              <w:rPr>
                <w:rFonts w:ascii="Verdana" w:hAnsi="Verdana" w:cs="Arial"/>
                <w:szCs w:val="20"/>
              </w:rPr>
            </w:pPr>
            <w:r>
              <w:rPr>
                <w:rFonts w:cs="Arial" w:ascii="Verdana" w:hAnsi="Verdana"/>
                <w:szCs w:val="20"/>
              </w:rPr>
            </w:r>
          </w:p>
          <w:p>
            <w:pPr>
              <w:pStyle w:val="Normal"/>
              <w:widowControl w:val="false"/>
              <w:spacing w:lineRule="auto" w:line="276"/>
              <w:jc w:val="both"/>
              <w:rPr>
                <w:rFonts w:ascii="Verdana" w:hAnsi="Verdana" w:cs="Arial"/>
                <w:szCs w:val="20"/>
              </w:rPr>
            </w:pPr>
            <w:r>
              <w:rPr>
                <w:rFonts w:cs="Arial" w:ascii="Verdana" w:hAnsi="Verdana"/>
                <w:szCs w:val="20"/>
              </w:rPr>
            </w:r>
          </w:p>
          <w:p>
            <w:pPr>
              <w:pStyle w:val="Normal"/>
              <w:widowControl w:val="false"/>
              <w:spacing w:lineRule="auto" w:line="276"/>
              <w:jc w:val="both"/>
              <w:rPr>
                <w:rFonts w:ascii="Verdana" w:hAnsi="Verdana" w:cs="Arial"/>
                <w:szCs w:val="20"/>
              </w:rPr>
            </w:pPr>
            <w:r>
              <w:rPr>
                <w:rFonts w:cs="Arial" w:ascii="Verdana" w:hAnsi="Verdana"/>
                <w:szCs w:val="20"/>
              </w:rPr>
            </w:r>
          </w:p>
          <w:p>
            <w:pPr>
              <w:pStyle w:val="Normal"/>
              <w:widowControl w:val="false"/>
              <w:spacing w:lineRule="auto" w:line="276"/>
              <w:jc w:val="both"/>
              <w:rPr>
                <w:rFonts w:ascii="Verdana" w:hAnsi="Verdana"/>
                <w:szCs w:val="20"/>
              </w:rPr>
            </w:pPr>
            <w:r>
              <w:rPr>
                <w:rFonts w:ascii="Verdana" w:hAnsi="Verdana"/>
                <w:szCs w:val="20"/>
              </w:rPr>
              <w:t>01</w:t>
            </w:r>
          </w:p>
        </w:tc>
        <w:tc>
          <w:tcPr>
            <w:tcW w:w="698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0"/>
              <w:contextualSpacing/>
              <w:jc w:val="both"/>
              <w:rPr>
                <w:rFonts w:ascii="Verdana" w:hAnsi="Verdana"/>
                <w:szCs w:val="20"/>
              </w:rPr>
            </w:pPr>
            <w:r>
              <w:rPr>
                <w:rFonts w:cs="Arial" w:ascii="Verdana" w:hAnsi="Verdana"/>
                <w:szCs w:val="20"/>
              </w:rPr>
              <w:t>SEGURANÇA PRIVADA DESARMADA PARA ATUAR NOS EVENTOS/FESTIVIDADES REALIZADOS PELA SECRETARIA MUNICIPAL DE CULTURA E ARTE, DO MUNICÍPIO DE SÃO GABRIEL DA PALHA - ES, DEVENDO, OBRIGATORIAMENTE, O EFETIVO DE SEGURANÇAS ESTAR UNIFORMIZADO, COM A DOCUMENTAÇÃO EXIGIDA EM PLENA VIGÊNCIA E DESEMPENHO OPERACIONAL DE ACORDO COM A LEGISLAÇÃO PERTINENTE, CONFORME QUANTITATIVO SOLICITADO PELO MUNICÍPIO DURANTE A REALIZAÇÃO DE CADA EVENTO, SENDO QUE OS POSTOS A SEREM OCUPADOS SERÃO DETERMINADOS DENTRO DO QUANTITATIVO EMPREGADO DE ACORDO COM A PREVISÃO DE PÚBLICO PARA CADA EVENTO. DIÁRIA DE 10H. OS SEGURANÇAS DEVERÃO SER CREDENCIADOS JUNTO À POLÍCIA FEDERAL</w:t>
            </w:r>
          </w:p>
        </w:tc>
        <w:tc>
          <w:tcPr>
            <w:tcW w:w="9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Cs w:val="20"/>
              </w:rPr>
            </w:pPr>
            <w:r>
              <w:rPr>
                <w:rFonts w:cs="Times New Roman" w:ascii="Verdana" w:hAnsi="Verdana"/>
                <w:szCs w:val="20"/>
                <w:lang w:eastAsia="en-US"/>
              </w:rPr>
              <w:t>45</w:t>
            </w:r>
          </w:p>
        </w:tc>
        <w:tc>
          <w:tcPr>
            <w:tcW w:w="96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76"/>
              <w:jc w:val="center"/>
              <w:rPr>
                <w:rFonts w:ascii="Verdana" w:hAnsi="Verdana"/>
                <w:szCs w:val="20"/>
              </w:rPr>
            </w:pPr>
            <w:r>
              <w:rPr>
                <w:rFonts w:cs="Times New Roman" w:ascii="Verdana" w:hAnsi="Verdana"/>
                <w:szCs w:val="20"/>
                <w:lang w:eastAsia="en-US"/>
              </w:rPr>
              <w:t>Und</w:t>
            </w:r>
          </w:p>
        </w:tc>
      </w:tr>
    </w:tbl>
    <w:p>
      <w:pPr>
        <w:pStyle w:val="PADRO"/>
        <w:keepNext w:val="false"/>
        <w:widowControl/>
        <w:numPr>
          <w:ilvl w:val="1"/>
          <w:numId w:val="1"/>
        </w:numPr>
        <w:shd w:val="clear" w:color="auto" w:fill="auto"/>
        <w:spacing w:before="120" w:after="120"/>
        <w:ind w:hanging="0" w:left="0"/>
        <w:rPr>
          <w:rFonts w:ascii="Verdana" w:hAnsi="Verdana" w:cs="Arial"/>
          <w:szCs w:val="20"/>
        </w:rPr>
      </w:pPr>
      <w:r>
        <w:rPr>
          <w:rFonts w:cs="Arial" w:ascii="Verdana" w:hAnsi="Verdana"/>
          <w:szCs w:val="20"/>
        </w:rPr>
        <w:t xml:space="preserve"> </w:t>
      </w:r>
      <w:r>
        <w:rPr>
          <w:rFonts w:cs="Arial" w:ascii="Verdana" w:hAnsi="Verdana"/>
          <w:szCs w:val="20"/>
        </w:rPr>
        <w:t>O critério de julgamento adotado será o</w:t>
      </w:r>
      <w:r>
        <w:rPr>
          <w:rFonts w:cs="Arial" w:ascii="Verdana" w:hAnsi="Verdana"/>
          <w:i/>
          <w:iCs/>
          <w:szCs w:val="20"/>
        </w:rPr>
        <w:t xml:space="preserve"> </w:t>
      </w:r>
      <w:r>
        <w:rPr>
          <w:rFonts w:cs="Arial" w:ascii="Verdana" w:hAnsi="Verdana"/>
          <w:b/>
          <w:bCs/>
          <w:i/>
          <w:szCs w:val="20"/>
        </w:rPr>
        <w:t>menor preço global</w:t>
      </w:r>
      <w:r>
        <w:rPr>
          <w:rFonts w:cs="Arial" w:ascii="Verdana" w:hAnsi="Verdana"/>
          <w:b/>
          <w:bCs/>
          <w:i/>
          <w:iCs/>
          <w:szCs w:val="20"/>
        </w:rPr>
        <w:t>,</w:t>
      </w:r>
      <w:r>
        <w:rPr>
          <w:rFonts w:cs="Arial" w:ascii="Verdana" w:hAnsi="Verdana"/>
          <w:szCs w:val="20"/>
        </w:rPr>
        <w:t xml:space="preserve"> observadas as exigências contidas neste Aviso de Contratação Direta e seus Anexos quanto às especificações do objeto.</w:t>
      </w:r>
    </w:p>
    <w:p>
      <w:pPr>
        <w:pStyle w:val="PADRO"/>
        <w:keepNext w:val="false"/>
        <w:widowControl/>
        <w:shd w:val="clear" w:color="auto" w:fill="auto"/>
        <w:spacing w:before="0" w:after="0"/>
        <w:ind w:hanging="0"/>
        <w:rPr>
          <w:rFonts w:ascii="Verdana" w:hAnsi="Verdana" w:cs="Arial"/>
          <w:szCs w:val="20"/>
        </w:rPr>
      </w:pPr>
      <w:r>
        <w:rPr>
          <w:rFonts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PARTICIPAÇÃO NA DISPENSA ELETRÔNICA</w:t>
      </w:r>
    </w:p>
    <w:p>
      <w:pPr>
        <w:pStyle w:val="Normal"/>
        <w:numPr>
          <w:ilvl w:val="1"/>
          <w:numId w:val="1"/>
        </w:numPr>
        <w:snapToGrid w:val="false"/>
        <w:spacing w:lineRule="auto" w:line="276"/>
        <w:ind w:hanging="0" w:left="0"/>
        <w:jc w:val="both"/>
        <w:rPr>
          <w:rFonts w:ascii="Verdana" w:hAnsi="Verdana" w:cs="Arial"/>
          <w:szCs w:val="20"/>
        </w:rPr>
      </w:pPr>
      <w:r>
        <w:rPr>
          <w:rFonts w:eastAsia="Calibri" w:cs="ArialMT" w:ascii="Verdana" w:hAnsi="Verdana" w:eastAsiaTheme="minorHAnsi"/>
          <w:szCs w:val="20"/>
          <w:lang w:eastAsia="en-US"/>
        </w:rPr>
        <w:t>Os fornecedores deverão se cadastrar previamente no Portal de Compras Públicas para acesso ao sistema e operacionalização</w:t>
      </w:r>
    </w:p>
    <w:p>
      <w:pPr>
        <w:pStyle w:val="Normal"/>
        <w:numPr>
          <w:ilvl w:val="2"/>
          <w:numId w:val="1"/>
        </w:numPr>
        <w:snapToGrid w:val="false"/>
        <w:spacing w:lineRule="auto" w:line="276" w:before="120" w:after="120"/>
        <w:ind w:hanging="0" w:left="567"/>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ind w:hanging="0" w:left="567"/>
        <w:jc w:val="both"/>
        <w:rPr>
          <w:rFonts w:ascii="Verdana" w:hAnsi="Verdana" w:cs="Arial"/>
          <w:szCs w:val="20"/>
        </w:rPr>
      </w:pPr>
      <w:r>
        <w:rPr>
          <w:rFonts w:cs="Arial" w:ascii="Verdana" w:hAnsi="Verdana"/>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hanging="0" w:left="0"/>
        <w:jc w:val="both"/>
        <w:rPr>
          <w:rFonts w:ascii="Verdana" w:hAnsi="Verdana" w:cs="Arial"/>
          <w:szCs w:val="20"/>
        </w:rPr>
      </w:pPr>
      <w:r>
        <w:rPr>
          <w:rFonts w:eastAsia="Calibri" w:cs="ArialMT" w:ascii="Verdana" w:hAnsi="Verdana" w:eastAsiaTheme="minorHAnsi"/>
          <w:szCs w:val="20"/>
          <w:lang w:eastAsia="en-US"/>
        </w:rPr>
        <w:t>Além das vedações estabelecidas pelo art. 9º, §1º e §2º da Lei Federal Nº 14.133/21, não será permitido, conforme previsto no artigo 14 da mesma Lei, a participação de fornecedores:</w:t>
      </w:r>
    </w:p>
    <w:p>
      <w:pPr>
        <w:pStyle w:val="Normal"/>
        <w:numPr>
          <w:ilvl w:val="2"/>
          <w:numId w:val="1"/>
        </w:numPr>
        <w:spacing w:lineRule="auto" w:line="276" w:before="120" w:after="120"/>
        <w:ind w:firstLine="21" w:left="567"/>
        <w:jc w:val="both"/>
        <w:rPr>
          <w:rFonts w:ascii="Verdana" w:hAnsi="Verdana" w:cs="Arial"/>
          <w:szCs w:val="20"/>
        </w:rPr>
      </w:pPr>
      <w:r>
        <w:rPr>
          <w:rFonts w:cs="Arial" w:ascii="Verdana" w:hAnsi="Verdana"/>
          <w:szCs w:val="20"/>
        </w:rPr>
        <w:t>que não atendam às condições deste Aviso de Contratação Direta e seu(s) anexo(s);</w:t>
      </w:r>
    </w:p>
    <w:p>
      <w:pPr>
        <w:pStyle w:val="Normal"/>
        <w:numPr>
          <w:ilvl w:val="2"/>
          <w:numId w:val="1"/>
        </w:numPr>
        <w:spacing w:lineRule="auto" w:line="276" w:before="120" w:after="120"/>
        <w:ind w:hanging="0" w:left="567"/>
        <w:jc w:val="both"/>
        <w:rPr>
          <w:rFonts w:ascii="Verdana" w:hAnsi="Verdana" w:cs="Arial"/>
          <w:szCs w:val="20"/>
        </w:rPr>
      </w:pPr>
      <w:r>
        <w:rPr>
          <w:rFonts w:cs="Arial" w:ascii="Verdana" w:hAnsi="Verdana"/>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ind w:hanging="0" w:left="567"/>
        <w:jc w:val="both"/>
        <w:rPr>
          <w:rFonts w:ascii="Verdana" w:hAnsi="Verdana" w:cs="Arial"/>
          <w:szCs w:val="20"/>
        </w:rPr>
      </w:pPr>
      <w:r>
        <w:rPr>
          <w:rFonts w:cs="Arial" w:ascii="Verdana" w:hAnsi="Verdana"/>
          <w:szCs w:val="20"/>
        </w:rPr>
        <w:t>organizações da Sociedade Civil de Interesse Público - OSCIP, atuando nessa condição (Acórdão nº 746/2014-TCU-Plenário); e</w:t>
      </w:r>
    </w:p>
    <w:p>
      <w:pPr>
        <w:pStyle w:val="Normal"/>
        <w:numPr>
          <w:ilvl w:val="2"/>
          <w:numId w:val="1"/>
        </w:numPr>
        <w:spacing w:lineRule="auto" w:line="276" w:before="120" w:after="120"/>
        <w:ind w:firstLine="630" w:left="-70"/>
        <w:jc w:val="both"/>
        <w:rPr>
          <w:rFonts w:ascii="Verdana" w:hAnsi="Verdana" w:cs="Arial"/>
          <w:szCs w:val="20"/>
        </w:rPr>
      </w:pPr>
      <w:r>
        <w:rPr>
          <w:rFonts w:cs="Arial" w:ascii="Verdana" w:hAnsi="Verdana"/>
          <w:szCs w:val="20"/>
        </w:rPr>
        <w:t>que se enquadrem nas seguintes vedações: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autor do anteprojeto, do projeto básico ou do projeto executivo, pessoa física ou jurídica, quando a contratação versar sobre obra, serviços ou fornecimento de bens a ele relacionados;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se encontre, ao tempo da contratação, impossibilitada de contratar em decorrência de sanção que lhe foi imposta;</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empresas controladoras, controladas ou coligadas, nos termos da </w:t>
      </w:r>
      <w:hyperlink r:id="rId3">
        <w:r>
          <w:rPr>
            <w:rStyle w:val="Hyperlink"/>
            <w:rFonts w:eastAsia="Calibri" w:cs="Arial" w:ascii="Verdana" w:hAnsi="Verdana"/>
            <w:color w:val="auto"/>
            <w:szCs w:val="20"/>
          </w:rPr>
          <w:t>Lei nº 6.404, de 15 de dezembro de 1976</w:t>
        </w:r>
      </w:hyperlink>
      <w:r>
        <w:rPr>
          <w:rFonts w:cs="Arial" w:ascii="Verdana" w:hAnsi="Verdana"/>
          <w:szCs w:val="20"/>
        </w:rPr>
        <w:t>, concorrendo entre si;</w:t>
      </w:r>
    </w:p>
    <w:p>
      <w:pPr>
        <w:pStyle w:val="ListParagraph"/>
        <w:numPr>
          <w:ilvl w:val="0"/>
          <w:numId w:val="4"/>
        </w:numPr>
        <w:spacing w:lineRule="auto" w:line="276" w:before="120" w:after="120"/>
        <w:contextualSpacing/>
        <w:jc w:val="both"/>
        <w:rPr>
          <w:rFonts w:ascii="Verdana" w:hAnsi="Verdana" w:cs="Arial"/>
          <w:szCs w:val="20"/>
        </w:rPr>
      </w:pPr>
      <w:r>
        <w:rPr>
          <w:rFonts w:cs="Arial" w:ascii="Verdana" w:hAnsi="Verdana"/>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Equiparam-se aos autores do projeto as empresas integrantes do mesmo grupo econômico;</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spacing w:lineRule="auto" w:line="276" w:before="120" w:after="120"/>
        <w:ind w:left="658"/>
        <w:jc w:val="both"/>
        <w:rPr>
          <w:rFonts w:ascii="Verdana" w:hAnsi="Verdana"/>
        </w:rPr>
      </w:pPr>
      <w:r>
        <w:rPr>
          <w:rFonts w:cs="Arial" w:ascii="Verdana" w:hAnsi="Verdana"/>
          <w:b/>
          <w:bCs/>
          <w:szCs w:val="20"/>
        </w:rPr>
        <w:t xml:space="preserve">2.2.5 </w:t>
      </w:r>
      <w:r>
        <w:rPr>
          <w:rFonts w:ascii="Verdana" w:hAnsi="Verdana"/>
        </w:rPr>
        <w:t>Organizações da Sociedade Civil de Interesse Público - OSCIP, atuando nessa condição (Acórdão nº 746/2014-TCU-Plenário); e</w:t>
      </w:r>
    </w:p>
    <w:p>
      <w:pPr>
        <w:pStyle w:val="Normal"/>
        <w:spacing w:lineRule="auto" w:line="276" w:before="120" w:after="120"/>
        <w:jc w:val="both"/>
        <w:rPr>
          <w:rFonts w:ascii="Verdana" w:hAnsi="Verdana"/>
        </w:rPr>
      </w:pPr>
      <w:r>
        <w:rPr>
          <w:rFonts w:cs="Arial" w:ascii="Verdana" w:hAnsi="Verdana"/>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pPr>
        <w:pStyle w:val="Normal"/>
        <w:spacing w:lineRule="auto" w:line="276" w:before="120" w:after="120"/>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pPr>
        <w:pStyle w:val="Normal"/>
        <w:spacing w:lineRule="auto" w:line="276"/>
        <w:ind w:left="574"/>
        <w:jc w:val="both"/>
        <w:rPr>
          <w:rFonts w:ascii="Verdana" w:hAnsi="Verdana"/>
        </w:rPr>
      </w:pPr>
      <w:r>
        <w:rPr>
          <w:rFonts w:ascii="Verdana" w:hAnsi="Verdana"/>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INGRESSO NA DISPENSA ELETRÔNICA E CADASTRAMENTO DA PROPOSTA INICIAL</w:t>
      </w:r>
    </w:p>
    <w:p>
      <w:pPr>
        <w:pStyle w:val="Normal"/>
        <w:numPr>
          <w:ilvl w:val="1"/>
          <w:numId w:val="1"/>
        </w:numPr>
        <w:tabs>
          <w:tab w:val="clear" w:pos="708"/>
          <w:tab w:val="left" w:pos="567" w:leader="none"/>
        </w:tabs>
        <w:snapToGrid w:val="false"/>
        <w:spacing w:lineRule="auto" w:line="276"/>
        <w:ind w:hanging="0" w:left="0"/>
        <w:jc w:val="both"/>
        <w:rPr>
          <w:rFonts w:ascii="Verdana" w:hAnsi="Verdana" w:cs="Arial"/>
          <w:szCs w:val="20"/>
        </w:rPr>
      </w:pPr>
      <w:r>
        <w:rPr>
          <w:rFonts w:cs="Arial" w:ascii="Verdana" w:hAnsi="Verdana"/>
          <w:szCs w:val="20"/>
        </w:rPr>
        <w:t>O ingresso do fornecedor na disputa da dispensa eletrônica se dará com o cadastramento de sua proposta inicial, na forma deste item.</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tabs>
          <w:tab w:val="clear" w:pos="708"/>
          <w:tab w:val="left" w:pos="567" w:leader="none"/>
        </w:tabs>
        <w:snapToGrid w:val="false"/>
        <w:spacing w:lineRule="auto" w:line="276" w:before="120" w:after="120"/>
        <w:ind w:left="560"/>
        <w:jc w:val="both"/>
        <w:rPr>
          <w:rFonts w:ascii="Verdana" w:hAnsi="Verdana" w:cs="Arial"/>
          <w:szCs w:val="20"/>
        </w:rPr>
      </w:pPr>
      <w:r>
        <w:rPr>
          <w:rFonts w:cs="Arial" w:ascii="Verdana" w:hAnsi="Verdana"/>
          <w:b/>
          <w:bCs/>
          <w:szCs w:val="20"/>
        </w:rPr>
        <w:t>3.2.1.</w:t>
      </w:r>
      <w:r>
        <w:rPr>
          <w:rFonts w:cs="Arial" w:ascii="Verdana" w:hAnsi="Verdana"/>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Todas as especificações do objeto contidas na proposta, em especial o preço, vinculam a Contratada.</w:t>
      </w:r>
    </w:p>
    <w:p>
      <w:pPr>
        <w:pStyle w:val="Normal"/>
        <w:numPr>
          <w:ilvl w:val="1"/>
          <w:numId w:val="1"/>
        </w:numPr>
        <w:tabs>
          <w:tab w:val="clear" w:pos="708"/>
          <w:tab w:val="left" w:pos="567" w:leader="none"/>
        </w:tabs>
        <w:snapToGrid w:val="false"/>
        <w:spacing w:lineRule="auto" w:line="276" w:before="120" w:after="120"/>
        <w:ind w:hanging="0" w:left="0"/>
        <w:jc w:val="both"/>
        <w:rPr>
          <w:rFonts w:ascii="Verdana" w:hAnsi="Verdana" w:cs="Arial"/>
          <w:szCs w:val="20"/>
        </w:rPr>
      </w:pPr>
      <w:r>
        <w:rPr>
          <w:rFonts w:cs="Arial" w:ascii="Verdana" w:hAnsi="Verdana"/>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Independentemente do percentual de tributo inserido na planilha, no pagamento serão retidos na fonte os percentuais estabelecidos na legislação vigente.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cs="Arial" w:ascii="Verdana" w:hAnsi="Verdana"/>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Uma vez enviada a proposta no sistema, os fornecedores </w:t>
      </w:r>
      <w:r>
        <w:rPr>
          <w:rFonts w:cs="Arial" w:ascii="Verdana" w:hAnsi="Verdana"/>
          <w:b/>
          <w:bCs/>
          <w:szCs w:val="20"/>
        </w:rPr>
        <w:t>NÃO</w:t>
      </w:r>
      <w:r>
        <w:rPr>
          <w:rFonts w:cs="Arial" w:ascii="Verdana" w:hAnsi="Verdana"/>
          <w:szCs w:val="20"/>
        </w:rPr>
        <w:t xml:space="preserve"> poderão retirá-la, substituí-la ou modificá-la;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No cadastramento da proposta inicial, o fornecedor deverá, também, assinalar “sim” ou “não” em campo próprio do sistema eletrônico, às seguintes declarações:</w:t>
      </w:r>
      <w:r>
        <w:rPr>
          <w:rFonts w:eastAsia="Zurich BT" w:cs="Arial" w:ascii="Verdana" w:hAnsi="Verdana"/>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Verdana" w:hAnsi="Verdana" w:cs="Arial"/>
          <w:bCs/>
          <w:vanish/>
          <w:szCs w:val="20"/>
        </w:rPr>
      </w:pPr>
      <w:r>
        <w:rPr>
          <w:rFonts w:cs="Arial" w:ascii="Verdana" w:hAnsi="Verdana"/>
          <w:bCs/>
          <w:vanish/>
          <w:szCs w:val="20"/>
        </w:rPr>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inexistem fatos impeditivos para sua habilitação no certame, ciente da obrigatoriedade de declarar ocorrências posteriores;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os requisitos estabelecidos no artigo 3° da Lei Complementar nº 123, de 2006, estando apto a usufruir do tratamento favorecido estabelecido em seus arts. 42 a 49.</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está ciente e concorda com as condições contidas no Aviso de Contratação Direta e seus anexos;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assume a responsabilidade pelas transações que forem efetuadas no sistema, assumindo como firmes e verdadeiras;</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cumpre as exigências de reserva de cargos para pessoa com deficiência e para reabilitado da Previdência Social, de que trata o art. 93 da Lei nº 8.213/91.</w:t>
      </w:r>
    </w:p>
    <w:p>
      <w:pPr>
        <w:pStyle w:val="Normal"/>
        <w:numPr>
          <w:ilvl w:val="2"/>
          <w:numId w:val="1"/>
        </w:numPr>
        <w:tabs>
          <w:tab w:val="clear" w:pos="708"/>
          <w:tab w:val="left" w:pos="1582" w:leader="none"/>
        </w:tabs>
        <w:spacing w:lineRule="auto" w:line="276" w:before="120" w:after="120"/>
        <w:jc w:val="both"/>
        <w:rPr>
          <w:rFonts w:ascii="Verdana" w:hAnsi="Verdana" w:cs="Arial"/>
          <w:szCs w:val="20"/>
        </w:rPr>
      </w:pPr>
      <w:r>
        <w:rPr>
          <w:rFonts w:cs="Arial" w:ascii="Verdana" w:hAnsi="Verdana"/>
          <w:szCs w:val="20"/>
        </w:rPr>
        <w:t>que não emprega menor de 18 anos em trabalho noturno, perigoso ou insalubre e não emprega menor de 16 anos, salvo menor, a partir de 14 anos, na condição de aprendiz, nos termos do artigo 7°, XXXIII, da Constituição;</w:t>
      </w:r>
    </w:p>
    <w:p>
      <w:pPr>
        <w:pStyle w:val="Normal"/>
        <w:tabs>
          <w:tab w:val="clear" w:pos="708"/>
          <w:tab w:val="left" w:pos="1582" w:leader="none"/>
        </w:tabs>
        <w:ind w:left="1224"/>
        <w:jc w:val="both"/>
        <w:rPr>
          <w:rFonts w:ascii="Verdana" w:hAnsi="Verdana" w:cs="Arial"/>
          <w:szCs w:val="20"/>
        </w:rPr>
      </w:pPr>
      <w:r>
        <w:rPr>
          <w:rFonts w:cs="Arial" w:ascii="Verdana" w:hAnsi="Verdana"/>
          <w:szCs w:val="20"/>
        </w:rPr>
      </w:r>
    </w:p>
    <w:p>
      <w:pPr>
        <w:pStyle w:val="PADRO"/>
        <w:keepNext w:val="false"/>
        <w:widowControl/>
        <w:numPr>
          <w:ilvl w:val="0"/>
          <w:numId w:val="1"/>
        </w:numPr>
        <w:shd w:val="clear" w:color="auto" w:fill="auto"/>
        <w:spacing w:before="120" w:after="0"/>
        <w:rPr>
          <w:rFonts w:ascii="Verdana" w:hAnsi="Verdana" w:cs="Arial"/>
          <w:b/>
          <w:szCs w:val="20"/>
        </w:rPr>
      </w:pPr>
      <w:r>
        <w:rPr>
          <w:rFonts w:cs="Arial" w:ascii="Verdana" w:hAnsi="Verdana"/>
          <w:b/>
          <w:szCs w:val="20"/>
        </w:rPr>
        <w:t>FASE DE LANCES</w:t>
      </w:r>
    </w:p>
    <w:p>
      <w:pPr>
        <w:pStyle w:val="ListParagraph"/>
        <w:numPr>
          <w:ilvl w:val="1"/>
          <w:numId w:val="1"/>
        </w:numPr>
        <w:tabs>
          <w:tab w:val="clear" w:pos="708"/>
          <w:tab w:val="left" w:pos="490" w:leader="none"/>
        </w:tabs>
        <w:spacing w:lineRule="auto" w:line="276"/>
        <w:ind w:hanging="0" w:left="0"/>
        <w:jc w:val="both"/>
        <w:rPr>
          <w:rFonts w:ascii="Verdana" w:hAnsi="Verdana" w:cs="Arial"/>
          <w:szCs w:val="20"/>
          <w:lang w:eastAsia="en-US"/>
        </w:rPr>
      </w:pPr>
      <w:r>
        <w:rPr>
          <w:rFonts w:cs="Arial" w:ascii="Verdana" w:hAnsi="Verdana"/>
          <w:szCs w:val="20"/>
          <w:lang w:eastAsia="en-US"/>
        </w:rPr>
        <w:t xml:space="preserve">A partir da data e horário estabelecidos neste Aviso de Contratação Direta, a sessão pública será automaticamente aberta pelo sistema para o envio de lances públicos e sucessivos, </w:t>
      </w:r>
      <w:r>
        <w:rPr>
          <w:rFonts w:cs="Arial" w:ascii="Verdana" w:hAnsi="Verdana"/>
          <w:bCs/>
          <w:szCs w:val="20"/>
          <w:lang w:eastAsia="en-US"/>
        </w:rPr>
        <w:t>exclusivamente por meio do sistema eletrônico</w:t>
      </w:r>
      <w:r>
        <w:rPr>
          <w:rFonts w:cs="Arial" w:ascii="Verdana" w:hAnsi="Verdana"/>
          <w:szCs w:val="20"/>
          <w:lang w:eastAsia="en-US"/>
        </w:rPr>
        <w:t>, sendo encerrado no horário de finalização de lances também já previsto neste aviso.</w:t>
      </w:r>
    </w:p>
    <w:p>
      <w:pPr>
        <w:pStyle w:val="ListParagraph"/>
        <w:numPr>
          <w:ilvl w:val="1"/>
          <w:numId w:val="1"/>
        </w:numPr>
        <w:tabs>
          <w:tab w:val="clear" w:pos="708"/>
          <w:tab w:val="left" w:pos="490"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Verdana" w:hAnsi="Verdana" w:cs="Arial"/>
          <w:b/>
          <w:bCs/>
          <w:szCs w:val="20"/>
          <w:lang w:eastAsia="en-US"/>
        </w:rPr>
      </w:pPr>
      <w:r>
        <w:rPr>
          <w:rFonts w:cs="Arial" w:ascii="Verdana" w:hAnsi="Verdana"/>
          <w:i/>
          <w:iCs/>
          <w:szCs w:val="20"/>
        </w:rPr>
        <w:t xml:space="preserve"> </w:t>
      </w:r>
      <w:r>
        <w:rPr>
          <w:rFonts w:cs="Arial" w:ascii="Verdana" w:hAnsi="Verdana"/>
          <w:b/>
          <w:bCs/>
          <w:szCs w:val="20"/>
        </w:rPr>
        <w:t>O lance deverá ser ofertado pelo valor global.</w:t>
      </w:r>
    </w:p>
    <w:p>
      <w:pPr>
        <w:pStyle w:val="ListParagraph"/>
        <w:numPr>
          <w:ilvl w:val="1"/>
          <w:numId w:val="1"/>
        </w:numPr>
        <w:tabs>
          <w:tab w:val="clear" w:pos="708"/>
          <w:tab w:val="left" w:pos="490"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R$ 1,00 (um real).</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Havendo lances iguais ao menor já ofertado, prevalecerá aquele que for recebido e registrado primeiro no sistema.</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Caso o fornecedor não apresente lances, concorrerá com o valor de sua proposta.</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Durante o procedimento, os fornecedores serão informados, em tempo real, do valor do menor lance registrado, vedada a identificação do fornecedor.</w:t>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lang w:eastAsia="en-US"/>
        </w:rPr>
        <w:t>O encerramento da fase de lances ocorrerá de forma automática pontualmente no horário indicado, sem qualquer possibilidade de prorrogação e não havendo tempo aleatório ou mecanismo similar.</w:t>
      </w:r>
    </w:p>
    <w:p>
      <w:pPr>
        <w:pStyle w:val="ListParagraph"/>
        <w:spacing w:lineRule="auto" w:line="276" w:before="120" w:after="120"/>
        <w:ind w:left="1224"/>
        <w:contextualSpacing/>
        <w:jc w:val="both"/>
        <w:rPr>
          <w:rFonts w:ascii="Verdana" w:hAnsi="Verdana" w:cs="Arial"/>
          <w:szCs w:val="20"/>
        </w:rPr>
      </w:pPr>
      <w:r>
        <w:rPr>
          <w:rFonts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JULGAMENTO DAS PROPOSTAS DE PREÇO</w:t>
      </w:r>
    </w:p>
    <w:p>
      <w:pPr>
        <w:pStyle w:val="ListParagraph"/>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Em qualquer caso, concluída a negociação, o resultado será registrado na ata do procedimento da dispensa eletrônica.</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Estando o preço compatível, será solicitado o envio da proposta e, se necessário, de documentos complementares, adequada ao último lance.</w:t>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rPr>
        <w:t xml:space="preserve">O prazo de validade da proposta não será inferior a </w:t>
      </w:r>
      <w:r>
        <w:rPr>
          <w:rFonts w:cs="Arial" w:ascii="Verdana" w:hAnsi="Verdana"/>
          <w:b/>
          <w:bCs/>
          <w:szCs w:val="20"/>
        </w:rPr>
        <w:t>60 (sessenta) dias,</w:t>
      </w:r>
      <w:r>
        <w:rPr>
          <w:rFonts w:cs="Arial" w:ascii="Verdana" w:hAnsi="Verdana"/>
          <w:szCs w:val="20"/>
        </w:rPr>
        <w:t xml:space="preserve"> a contar da data de sua apresentação.</w:t>
      </w:r>
    </w:p>
    <w:p>
      <w:pPr>
        <w:pStyle w:val="ListParagraph"/>
        <w:tabs>
          <w:tab w:val="clear" w:pos="708"/>
          <w:tab w:val="left" w:pos="518" w:leader="none"/>
        </w:tabs>
        <w:spacing w:lineRule="auto" w:line="276" w:before="120" w:after="120"/>
        <w:ind w:left="0"/>
        <w:contextualSpacing/>
        <w:jc w:val="both"/>
        <w:rPr>
          <w:rFonts w:ascii="Verdana" w:hAnsi="Verdana" w:cs="Arial"/>
          <w:szCs w:val="20"/>
        </w:rPr>
      </w:pPr>
      <w:r>
        <w:rPr>
          <w:rFonts w:cs="Arial" w:ascii="Verdana" w:hAnsi="Verdana"/>
          <w:szCs w:val="20"/>
        </w:rPr>
      </w:r>
    </w:p>
    <w:p>
      <w:pPr>
        <w:pStyle w:val="ListParagraph"/>
        <w:numPr>
          <w:ilvl w:val="1"/>
          <w:numId w:val="1"/>
        </w:numPr>
        <w:tabs>
          <w:tab w:val="clear" w:pos="708"/>
          <w:tab w:val="left" w:pos="518" w:leader="none"/>
        </w:tabs>
        <w:spacing w:lineRule="auto" w:line="276" w:before="120" w:after="120"/>
        <w:ind w:hanging="0" w:left="0"/>
        <w:contextualSpacing/>
        <w:jc w:val="both"/>
        <w:rPr>
          <w:rFonts w:ascii="Verdana" w:hAnsi="Verdana" w:cs="Arial"/>
          <w:szCs w:val="20"/>
        </w:rPr>
      </w:pPr>
      <w:r>
        <w:rPr>
          <w:rFonts w:cs="Arial" w:ascii="Verdana" w:hAnsi="Verdana"/>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contiver vícios insanáveis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não obedecer às especificações técnicas pormenorizadas neste aviso ou em seus anexos</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não tiverem sua exequibilidade demonstrada, quando exigido pela Administração</w:t>
      </w:r>
      <w:r>
        <w:rPr>
          <w:rFonts w:cs="Arial" w:ascii="Verdana" w:hAnsi="Verdana"/>
          <w:iCs/>
          <w:szCs w:val="20"/>
        </w:rPr>
        <w:t>;</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apresentar desconformidade com quaisquer outras exigências deste aviso ou seus anexos, desde que insanável.</w:t>
      </w:r>
    </w:p>
    <w:p>
      <w:pPr>
        <w:pStyle w:val="ListParagraph"/>
        <w:spacing w:lineRule="auto" w:line="276" w:before="120" w:after="120"/>
        <w:ind w:left="1224"/>
        <w:contextualSpacing/>
        <w:jc w:val="both"/>
        <w:rPr>
          <w:rFonts w:ascii="Verdana" w:hAnsi="Verdana" w:cs="Arial"/>
          <w:i/>
          <w:szCs w:val="20"/>
        </w:rPr>
      </w:pPr>
      <w:r>
        <w:rPr>
          <w:rFonts w:cs="Arial" w:ascii="Verdana" w:hAnsi="Verdana"/>
          <w:i/>
          <w:szCs w:val="20"/>
        </w:rPr>
      </w:r>
    </w:p>
    <w:p>
      <w:pPr>
        <w:pStyle w:val="ListParagraph"/>
        <w:numPr>
          <w:ilvl w:val="1"/>
          <w:numId w:val="1"/>
        </w:numPr>
        <w:tabs>
          <w:tab w:val="clear" w:pos="708"/>
          <w:tab w:val="left" w:pos="532" w:leader="none"/>
        </w:tabs>
        <w:spacing w:lineRule="auto" w:line="276" w:before="120" w:after="120"/>
        <w:ind w:hanging="0" w:left="0"/>
        <w:contextualSpacing/>
        <w:jc w:val="both"/>
        <w:rPr>
          <w:rFonts w:ascii="Verdana" w:hAnsi="Verdana" w:cs="Arial"/>
          <w:i/>
          <w:szCs w:val="20"/>
        </w:rPr>
      </w:pPr>
      <w:r>
        <w:rPr>
          <w:rFonts w:cs="Arial" w:ascii="Verdana" w:hAnsi="Verdana"/>
          <w:szCs w:val="20"/>
          <w:lang w:eastAsia="en-US"/>
        </w:rPr>
        <w:t>Quando</w:t>
      </w:r>
      <w:r>
        <w:rPr>
          <w:rFonts w:cs="Arial" w:ascii="Verdana" w:hAnsi="Verdana"/>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Verdana" w:hAnsi="Verdana" w:cs="Arial"/>
          <w:i/>
          <w:szCs w:val="20"/>
        </w:rPr>
      </w:pPr>
      <w:r>
        <w:rPr>
          <w:rFonts w:cs="Arial" w:ascii="Verdana" w:hAnsi="Verdana"/>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pPr>
        <w:pStyle w:val="ListParagraph"/>
        <w:spacing w:lineRule="auto" w:line="276" w:before="120" w:after="120"/>
        <w:ind w:left="1224"/>
        <w:contextualSpacing/>
        <w:jc w:val="both"/>
        <w:rPr>
          <w:rFonts w:ascii="Verdana" w:hAnsi="Verdana" w:cs="Arial"/>
          <w:i/>
          <w:szCs w:val="20"/>
        </w:rPr>
      </w:pPr>
      <w:r>
        <w:rPr>
          <w:rFonts w:cs="Arial" w:ascii="Verdana" w:hAnsi="Verdana"/>
          <w:i/>
          <w:szCs w:val="20"/>
        </w:rPr>
      </w:r>
    </w:p>
    <w:p>
      <w:pPr>
        <w:pStyle w:val="ListParagraph"/>
        <w:numPr>
          <w:ilvl w:val="1"/>
          <w:numId w:val="1"/>
        </w:numPr>
        <w:tabs>
          <w:tab w:val="clear" w:pos="708"/>
          <w:tab w:val="left" w:pos="560" w:leader="none"/>
        </w:tabs>
        <w:spacing w:lineRule="auto" w:line="276" w:before="120" w:after="120"/>
        <w:ind w:hanging="0" w:left="0" w:right="-15"/>
        <w:contextualSpacing/>
        <w:jc w:val="both"/>
        <w:rPr>
          <w:rFonts w:ascii="Verdana" w:hAnsi="Verdana" w:cs="Arial"/>
          <w:szCs w:val="20"/>
          <w:lang w:eastAsia="en-US"/>
        </w:rPr>
      </w:pPr>
      <w:r>
        <w:rPr>
          <w:rFonts w:cs="Arial" w:ascii="Verdana" w:hAnsi="Verdana"/>
          <w:szCs w:val="20"/>
          <w:lang w:eastAsia="en-US"/>
        </w:rPr>
        <w:t xml:space="preserve">Se houver indícios de inexequibilidade da proposta de preço, ou em caso da necessidade de esclarecimentos </w:t>
      </w:r>
      <w:r>
        <w:rPr>
          <w:rFonts w:cs="Arial" w:ascii="Verdana" w:hAnsi="Verdana"/>
          <w:szCs w:val="20"/>
        </w:rPr>
        <w:t>complementares</w:t>
      </w:r>
      <w:r>
        <w:rPr>
          <w:rFonts w:cs="Arial" w:ascii="Verdana" w:hAnsi="Verdana"/>
          <w:szCs w:val="20"/>
          <w:lang w:eastAsia="en-US"/>
        </w:rPr>
        <w:t xml:space="preserve">, poderão ser efetuadas diligências, para que a empresa comprove a exequibilidade da proposta.  </w:t>
      </w:r>
    </w:p>
    <w:p>
      <w:pPr>
        <w:pStyle w:val="ListParagraph"/>
        <w:numPr>
          <w:ilvl w:val="1"/>
          <w:numId w:val="1"/>
        </w:numPr>
        <w:tabs>
          <w:tab w:val="clear" w:pos="708"/>
          <w:tab w:val="left" w:pos="560" w:leader="none"/>
        </w:tabs>
        <w:spacing w:lineRule="auto" w:line="276" w:before="120" w:after="120"/>
        <w:ind w:hanging="0" w:left="0" w:right="-15"/>
        <w:contextualSpacing/>
        <w:jc w:val="both"/>
        <w:rPr>
          <w:rFonts w:ascii="Verdana" w:hAnsi="Verdana" w:cs="Arial"/>
          <w:szCs w:val="20"/>
          <w:lang w:eastAsia="en-US"/>
        </w:rPr>
      </w:pPr>
      <w:r>
        <w:rPr>
          <w:rFonts w:cs="Arial" w:ascii="Verdana" w:hAnsi="Verdana"/>
          <w:szCs w:val="20"/>
          <w:lang w:eastAsia="en-US"/>
        </w:rPr>
        <w:t>Erros no preenchimento da planilha não constituem motivo para a desclassificac</w:t>
      </w:r>
      <w:r>
        <w:rPr>
          <w:rFonts w:cs="Arial"/>
          <w:szCs w:val="20"/>
          <w:lang w:eastAsia="en-US"/>
        </w:rPr>
        <w:t>̧</w:t>
      </w:r>
      <w:r>
        <w:rPr>
          <w:rFonts w:cs="Arial" w:ascii="Verdana" w:hAnsi="Verdana"/>
          <w:szCs w:val="20"/>
          <w:lang w:eastAsia="en-US"/>
        </w:rPr>
        <w:t xml:space="preserve">ão da proposta. A planilha </w:t>
      </w:r>
      <w:r>
        <w:rPr>
          <w:rFonts w:cs="Arial" w:ascii="Verdana" w:hAnsi="Verdana"/>
          <w:szCs w:val="20"/>
        </w:rPr>
        <w:t>poderá́</w:t>
      </w:r>
      <w:r>
        <w:rPr>
          <w:rFonts w:cs="Arial" w:ascii="Verdana" w:hAnsi="Verdana"/>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Verdana" w:hAnsi="Verdana" w:cs="Arial"/>
          <w:szCs w:val="20"/>
          <w:lang w:eastAsia="en-US"/>
        </w:rPr>
      </w:pPr>
      <w:r>
        <w:rPr>
          <w:rFonts w:cs="Arial" w:ascii="Verdana" w:hAnsi="Verdana"/>
          <w:szCs w:val="20"/>
          <w:lang w:eastAsia="en-US"/>
        </w:rPr>
        <w:t>O ajuste de que trata este dispositivo se limita a sanar erros ou falhas que não alterem a substância das propostas;</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Se a proposta ou lance vencedor for desclassificado, será examinada a proposta ou lance subsequente, e, assim sucessivamente, na ordem de classificação.</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Havendo necessidade, a sessão será suspensa, informando-se no “chat” a nova data e horário para a sua continuidade.</w:t>
      </w:r>
    </w:p>
    <w:p>
      <w:pPr>
        <w:pStyle w:val="ListParagraph"/>
        <w:numPr>
          <w:ilvl w:val="1"/>
          <w:numId w:val="1"/>
        </w:numPr>
        <w:tabs>
          <w:tab w:val="clear" w:pos="708"/>
          <w:tab w:val="left" w:pos="546" w:leader="none"/>
        </w:tabs>
        <w:spacing w:lineRule="auto" w:line="276" w:before="120" w:after="120"/>
        <w:ind w:hanging="0" w:left="0"/>
        <w:contextualSpacing/>
        <w:jc w:val="both"/>
        <w:rPr>
          <w:rFonts w:ascii="Verdana" w:hAnsi="Verdana" w:cs="Arial"/>
          <w:szCs w:val="20"/>
          <w:lang w:eastAsia="en-US"/>
        </w:rPr>
      </w:pPr>
      <w:r>
        <w:rPr>
          <w:rFonts w:cs="Arial" w:ascii="Verdana" w:hAnsi="Verdana"/>
          <w:szCs w:val="20"/>
          <w:lang w:eastAsia="en-US"/>
        </w:rPr>
        <w:t>Encerrada a análise quanto à aceitação da proposta, se iniciará a fase de habilitação, observado o disposto neste Aviso de Contratação Direta. </w:t>
      </w:r>
    </w:p>
    <w:p>
      <w:pPr>
        <w:pStyle w:val="ListParagraph"/>
        <w:tabs>
          <w:tab w:val="clear" w:pos="708"/>
          <w:tab w:val="left" w:pos="546" w:leader="none"/>
        </w:tabs>
        <w:spacing w:lineRule="auto" w:line="276" w:before="120" w:after="120"/>
        <w:ind w:left="0"/>
        <w:contextualSpacing/>
        <w:jc w:val="both"/>
        <w:rPr>
          <w:rFonts w:ascii="Verdana" w:hAnsi="Verdana" w:cs="Arial"/>
          <w:szCs w:val="20"/>
          <w:lang w:eastAsia="en-US"/>
        </w:rPr>
      </w:pPr>
      <w:r>
        <w:rPr>
          <w:rFonts w:cs="Arial" w:ascii="Verdana" w:hAnsi="Verdana"/>
          <w:szCs w:val="20"/>
          <w:lang w:eastAsia="en-US"/>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HABILITAÇÃO</w:t>
      </w:r>
    </w:p>
    <w:p>
      <w:pPr>
        <w:pStyle w:val="ListParagraph"/>
        <w:numPr>
          <w:ilvl w:val="1"/>
          <w:numId w:val="1"/>
        </w:numPr>
        <w:spacing w:lineRule="auto" w:line="276" w:before="120" w:after="0"/>
        <w:ind w:hanging="574" w:left="567"/>
        <w:contextualSpacing/>
        <w:jc w:val="both"/>
        <w:rPr>
          <w:rFonts w:ascii="Verdana" w:hAnsi="Verdana" w:cs="Arial"/>
          <w:b/>
          <w:szCs w:val="20"/>
          <w:lang w:eastAsia="ar-SA"/>
        </w:rPr>
      </w:pPr>
      <w:r>
        <w:rPr>
          <w:rFonts w:cs="Arial" w:ascii="Verdana" w:hAnsi="Verdana"/>
          <w:szCs w:val="20"/>
          <w:lang w:eastAsia="ar-SA"/>
        </w:rPr>
        <w:t xml:space="preserve">Os </w:t>
      </w:r>
      <w:r>
        <w:rPr>
          <w:rFonts w:cs="Arial" w:ascii="Verdana" w:hAnsi="Verdana"/>
          <w:szCs w:val="20"/>
        </w:rPr>
        <w:t>documentos</w:t>
      </w:r>
      <w:r>
        <w:rPr>
          <w:rFonts w:cs="Arial" w:ascii="Verdana" w:hAnsi="Verdana"/>
          <w:szCs w:val="20"/>
          <w:lang w:eastAsia="ar-SA"/>
        </w:rPr>
        <w:t xml:space="preserve"> a serem exigidos para fins de habilitação constam do </w:t>
      </w:r>
      <w:r>
        <w:rPr>
          <w:rFonts w:cs="Arial" w:ascii="Verdana" w:hAnsi="Verdana"/>
          <w:b/>
          <w:szCs w:val="20"/>
          <w:lang w:eastAsia="ar-SA"/>
        </w:rPr>
        <w:t xml:space="preserve">ANEXO I – DOCUMENTAÇÃO EXIGIDA PARA HABILITAÇÃO </w:t>
      </w:r>
      <w:r>
        <w:rPr>
          <w:rFonts w:cs="Arial" w:ascii="Verdana" w:hAnsi="Verdana"/>
          <w:szCs w:val="20"/>
          <w:lang w:eastAsia="ar-SA"/>
        </w:rPr>
        <w:t>deste aviso e serão solicitados do fornecedor mais bem classificado da fase de lances.</w:t>
      </w:r>
    </w:p>
    <w:p>
      <w:pPr>
        <w:pStyle w:val="ListParagraph"/>
        <w:numPr>
          <w:ilvl w:val="1"/>
          <w:numId w:val="1"/>
        </w:numPr>
        <w:spacing w:lineRule="auto" w:line="276" w:before="120" w:after="120"/>
        <w:ind w:hanging="574" w:left="567"/>
        <w:contextualSpacing/>
        <w:jc w:val="both"/>
        <w:rPr>
          <w:rFonts w:ascii="Verdana" w:hAnsi="Verdana" w:cs="Arial"/>
          <w:b/>
          <w:szCs w:val="20"/>
          <w:lang w:eastAsia="ar-SA"/>
        </w:rPr>
      </w:pPr>
      <w:r>
        <w:rPr>
          <w:rFonts w:cs="Arial" w:ascii="Verdana" w:hAnsi="Verdana"/>
          <w:szCs w:val="20"/>
          <w:lang w:eastAsia="ar-SA"/>
        </w:rPr>
        <w:t xml:space="preserve">Como </w:t>
      </w:r>
      <w:r>
        <w:rPr>
          <w:rFonts w:cs="Arial" w:ascii="Verdana" w:hAnsi="Verdana"/>
          <w:szCs w:val="20"/>
        </w:rPr>
        <w:t>condição</w:t>
      </w:r>
      <w:r>
        <w:rPr>
          <w:rFonts w:cs="Arial" w:ascii="Verdana" w:hAnsi="Verdana"/>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contextualSpacing/>
        <w:jc w:val="both"/>
        <w:rPr>
          <w:rFonts w:ascii="Verdana" w:hAnsi="Verdana" w:cs="Arial"/>
          <w:szCs w:val="20"/>
          <w:lang w:eastAsia="ar-SA"/>
        </w:rPr>
      </w:pPr>
      <w:r>
        <w:rPr>
          <w:rFonts w:cs="Arial" w:ascii="Verdana" w:hAnsi="Verdana"/>
          <w:szCs w:val="20"/>
          <w:lang w:eastAsia="ar-SA"/>
        </w:rPr>
        <w:t xml:space="preserve">a) SICAF;  </w:t>
      </w:r>
    </w:p>
    <w:p>
      <w:pPr>
        <w:pStyle w:val="ListParagraph"/>
        <w:spacing w:lineRule="auto" w:line="276" w:before="120" w:after="120"/>
        <w:ind w:left="1134"/>
        <w:contextualSpacing/>
        <w:jc w:val="both"/>
        <w:rPr>
          <w:rFonts w:ascii="Verdana" w:hAnsi="Verdana"/>
          <w:szCs w:val="20"/>
        </w:rPr>
      </w:pPr>
      <w:r>
        <w:rPr>
          <w:rFonts w:cs="Arial" w:ascii="Verdana" w:hAnsi="Verdana"/>
          <w:szCs w:val="20"/>
          <w:lang w:eastAsia="ar-SA"/>
        </w:rPr>
        <w:t>b) Cadastro Nacional de Empresas Inidôneas e Suspensas - CEIS, mantido pela Controladoria-Geral da União (</w:t>
      </w:r>
      <w:hyperlink r:id="rId4">
        <w:r>
          <w:rPr>
            <w:rStyle w:val="Hyperlink"/>
            <w:rFonts w:eastAsia="Calibri" w:cs="Arial" w:ascii="Verdana" w:hAnsi="Verdana"/>
            <w:color w:val="auto"/>
            <w:szCs w:val="20"/>
            <w:lang w:eastAsia="ar-SA"/>
          </w:rPr>
          <w:t>www.portaldatransparencia.gov.br/ceis</w:t>
        </w:r>
      </w:hyperlink>
      <w:r>
        <w:rPr>
          <w:rFonts w:cs="Arial" w:ascii="Verdana" w:hAnsi="Verdana"/>
          <w:szCs w:val="20"/>
          <w:lang w:eastAsia="ar-SA"/>
        </w:rPr>
        <w:t xml:space="preserve">);  </w:t>
      </w:r>
    </w:p>
    <w:p>
      <w:pPr>
        <w:pStyle w:val="ListParagraph"/>
        <w:spacing w:lineRule="auto" w:line="276" w:before="120" w:after="120"/>
        <w:ind w:left="1134"/>
        <w:contextualSpacing/>
        <w:jc w:val="both"/>
        <w:rPr>
          <w:rFonts w:ascii="Verdana" w:hAnsi="Verdana"/>
          <w:szCs w:val="20"/>
        </w:rPr>
      </w:pPr>
      <w:r>
        <w:rPr>
          <w:rFonts w:cs="Arial" w:ascii="Verdana" w:hAnsi="Verdana"/>
          <w:szCs w:val="20"/>
          <w:lang w:eastAsia="ar-SA"/>
        </w:rPr>
        <w:t>c) Cadastro Nacional de Condenações Cíveis por Atos de Improbidade Administrativa, mantido pelo Conselho Nacional de Justiça (</w:t>
      </w:r>
      <w:hyperlink r:id="rId5">
        <w:r>
          <w:rPr>
            <w:rStyle w:val="Hyperlink"/>
            <w:rFonts w:eastAsia="Calibri" w:cs="Arial" w:ascii="Verdana" w:hAnsi="Verdana"/>
            <w:color w:val="auto"/>
            <w:szCs w:val="20"/>
            <w:lang w:eastAsia="ar-SA"/>
          </w:rPr>
          <w:t>www.cnj.jus.br/improbidade_adm/consultar_requerido.php</w:t>
        </w:r>
      </w:hyperlink>
      <w:r>
        <w:rPr>
          <w:rFonts w:cs="Arial" w:ascii="Verdana" w:hAnsi="Verdana"/>
          <w:szCs w:val="20"/>
          <w:lang w:eastAsia="ar-SA"/>
        </w:rPr>
        <w:t xml:space="preserve">).  </w:t>
      </w:r>
    </w:p>
    <w:p>
      <w:pPr>
        <w:pStyle w:val="ListParagraph"/>
        <w:spacing w:lineRule="auto" w:line="276" w:before="120" w:after="120"/>
        <w:ind w:left="1134"/>
        <w:contextualSpacing/>
        <w:jc w:val="both"/>
        <w:rPr>
          <w:rFonts w:ascii="Verdana" w:hAnsi="Verdana" w:cs="Arial"/>
          <w:szCs w:val="20"/>
          <w:lang w:eastAsia="ar-SA"/>
        </w:rPr>
      </w:pPr>
      <w:r>
        <w:rPr>
          <w:rFonts w:cs="Arial" w:ascii="Verdana" w:hAnsi="Verdana"/>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Verdana" w:hAnsi="Verdana" w:cs="Arial"/>
          <w:b/>
          <w:szCs w:val="20"/>
        </w:rPr>
      </w:pPr>
      <w:r>
        <w:rPr>
          <w:rFonts w:cs="Arial" w:ascii="Verdana" w:hAnsi="Verdana"/>
          <w:szCs w:val="20"/>
          <w:lang w:eastAsia="ar-SA"/>
        </w:rPr>
        <w:t xml:space="preserve">Para a consulta de </w:t>
      </w:r>
      <w:r>
        <w:rPr>
          <w:rFonts w:cs="Arial" w:ascii="Verdana" w:hAnsi="Verdana"/>
          <w:szCs w:val="20"/>
        </w:rPr>
        <w:t>fornecedores</w:t>
      </w:r>
      <w:r>
        <w:rPr>
          <w:rFonts w:cs="Arial" w:ascii="Verdana" w:hAnsi="Verdana"/>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 xml:space="preserve">A consulta aos </w:t>
      </w:r>
      <w:r>
        <w:rPr>
          <w:rFonts w:cs="Arial" w:ascii="Verdana" w:hAnsi="Verdana"/>
          <w:szCs w:val="20"/>
          <w:lang w:eastAsia="ar-SA"/>
        </w:rPr>
        <w:t>cadastros</w:t>
      </w:r>
      <w:r>
        <w:rPr>
          <w:rFonts w:cs="Arial" w:ascii="Verdana" w:hAnsi="Verdana"/>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Verdana" w:hAnsi="Verdana" w:cs="Arial"/>
          <w:szCs w:val="20"/>
        </w:rPr>
      </w:pPr>
      <w:r>
        <w:rPr>
          <w:rFonts w:cs="Arial" w:ascii="Verdana" w:hAnsi="Verdana"/>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Caso atendidas as condições de participação, a habilitação dos fornecedores será verificada por meio do SICAF, nos documentos por ele abrangidos.</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hanging="574" w:left="567"/>
        <w:contextualSpacing/>
        <w:jc w:val="both"/>
        <w:rPr>
          <w:rFonts w:ascii="Verdana" w:hAnsi="Verdana" w:cs="Arial"/>
          <w:b/>
          <w:bCs/>
          <w:szCs w:val="20"/>
        </w:rPr>
      </w:pPr>
      <w:r>
        <w:rPr>
          <w:rFonts w:cs="Arial" w:ascii="Verdana" w:hAnsi="Verdana"/>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hanging="574" w:left="567"/>
        <w:contextualSpacing/>
        <w:jc w:val="both"/>
        <w:rPr>
          <w:rFonts w:ascii="Verdana" w:hAnsi="Verdana" w:cs="Arial"/>
          <w:bCs/>
          <w:szCs w:val="20"/>
        </w:rPr>
      </w:pPr>
      <w:r>
        <w:rPr>
          <w:rFonts w:cs="Arial" w:ascii="Verdana" w:hAnsi="Verdana"/>
          <w:bCs/>
          <w:szCs w:val="20"/>
        </w:rPr>
        <w:t xml:space="preserve">Havendo </w:t>
      </w:r>
      <w:r>
        <w:rPr>
          <w:rFonts w:cs="Arial" w:ascii="Verdana" w:hAnsi="Verdana"/>
          <w:iCs/>
          <w:szCs w:val="20"/>
          <w:lang w:eastAsia="en-US"/>
        </w:rPr>
        <w:t>necessidade</w:t>
      </w:r>
      <w:r>
        <w:rPr>
          <w:rFonts w:cs="Arial" w:ascii="Verdana" w:hAnsi="Verdana"/>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hanging="574" w:left="567"/>
        <w:contextualSpacing/>
        <w:jc w:val="both"/>
        <w:rPr>
          <w:rFonts w:ascii="Verdana" w:hAnsi="Verdana" w:cs="Arial"/>
          <w:szCs w:val="20"/>
        </w:rPr>
      </w:pPr>
      <w:r>
        <w:rPr>
          <w:rFonts w:cs="Arial" w:ascii="Verdana" w:hAnsi="Verdana"/>
          <w:szCs w:val="20"/>
        </w:rPr>
        <w:t xml:space="preserve">Será inabilitado o fornecedor que não comprovar sua habilitação, seja por não apresentar </w:t>
      </w:r>
      <w:r>
        <w:rPr>
          <w:rFonts w:cs="Arial" w:ascii="Verdana" w:hAnsi="Verdana"/>
          <w:iCs/>
          <w:szCs w:val="20"/>
          <w:lang w:eastAsia="en-US"/>
        </w:rPr>
        <w:t>quaisquer</w:t>
      </w:r>
      <w:r>
        <w:rPr>
          <w:rFonts w:cs="Arial" w:ascii="Verdana" w:hAnsi="Verdana"/>
          <w:szCs w:val="20"/>
        </w:rPr>
        <w:t xml:space="preserve"> dos </w:t>
      </w:r>
      <w:r>
        <w:rPr>
          <w:rFonts w:cs="Arial" w:ascii="Verdana" w:hAnsi="Verdana"/>
          <w:bCs/>
          <w:szCs w:val="20"/>
        </w:rPr>
        <w:t>documentos</w:t>
      </w:r>
      <w:r>
        <w:rPr>
          <w:rFonts w:cs="Arial" w:ascii="Verdana" w:hAnsi="Verdana"/>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Verdana" w:hAnsi="Verdana" w:cs="Arial"/>
          <w:szCs w:val="20"/>
        </w:rPr>
      </w:pPr>
      <w:r>
        <w:rPr>
          <w:rFonts w:cs="Arial" w:ascii="Verdana" w:hAnsi="Verdana"/>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hanging="574" w:left="567"/>
        <w:contextualSpacing/>
        <w:jc w:val="both"/>
        <w:rPr>
          <w:rFonts w:ascii="Verdana" w:hAnsi="Verdana" w:cs="Arial"/>
          <w:iCs/>
          <w:szCs w:val="20"/>
          <w:lang w:eastAsia="en-US"/>
        </w:rPr>
      </w:pPr>
      <w:r>
        <w:rPr>
          <w:rFonts w:cs="Arial" w:ascii="Verdana" w:hAnsi="Verdana"/>
          <w:iCs/>
          <w:szCs w:val="20"/>
          <w:lang w:eastAsia="en-US"/>
        </w:rPr>
        <w:t>Constatado o atendimento às exigências de habilitação, o fornecedor será habilitado.</w:t>
      </w:r>
    </w:p>
    <w:p>
      <w:pPr>
        <w:pStyle w:val="ListParagraph"/>
        <w:spacing w:lineRule="auto" w:line="276" w:before="120" w:after="0"/>
        <w:ind w:left="567"/>
        <w:contextualSpacing/>
        <w:jc w:val="both"/>
        <w:rPr>
          <w:rFonts w:ascii="Verdana" w:hAnsi="Verdana" w:cs="Arial"/>
          <w:iCs/>
          <w:szCs w:val="20"/>
          <w:lang w:eastAsia="en-US"/>
        </w:rPr>
      </w:pPr>
      <w:r>
        <w:rPr>
          <w:rFonts w:cs="Arial" w:ascii="Verdana" w:hAnsi="Verdana"/>
          <w:iCs/>
          <w:szCs w:val="20"/>
          <w:lang w:eastAsia="en-US"/>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CONTRATAÇÃO</w:t>
      </w:r>
    </w:p>
    <w:p>
      <w:pPr>
        <w:pStyle w:val="Normal"/>
        <w:numPr>
          <w:ilvl w:val="1"/>
          <w:numId w:val="1"/>
        </w:numPr>
        <w:tabs>
          <w:tab w:val="clear" w:pos="708"/>
          <w:tab w:val="left" w:pos="574" w:leader="none"/>
        </w:tabs>
        <w:spacing w:lineRule="auto" w:line="276"/>
        <w:ind w:hanging="0" w:left="0"/>
        <w:jc w:val="both"/>
        <w:rPr>
          <w:rFonts w:ascii="Verdana" w:hAnsi="Verdana" w:eastAsia="Arial" w:cs="Arial"/>
          <w:szCs w:val="20"/>
        </w:rPr>
      </w:pPr>
      <w:r>
        <w:rPr>
          <w:rFonts w:eastAsia="Arial" w:cs="Arial" w:ascii="Verdana" w:hAnsi="Verdana"/>
          <w:szCs w:val="20"/>
        </w:rPr>
        <w:t>Após a homologação e adjudicação, caso se conclua pela contratação, será firmado Termo de Contrato ou emitido instrumento equivalente.</w:t>
      </w:r>
    </w:p>
    <w:p>
      <w:pPr>
        <w:pStyle w:val="Normal"/>
        <w:numPr>
          <w:ilvl w:val="1"/>
          <w:numId w:val="1"/>
        </w:numPr>
        <w:tabs>
          <w:tab w:val="clear" w:pos="708"/>
          <w:tab w:val="left" w:pos="574" w:leader="none"/>
        </w:tabs>
        <w:spacing w:lineRule="auto" w:line="276" w:before="120" w:after="120"/>
        <w:ind w:hanging="0" w:left="0"/>
        <w:jc w:val="both"/>
        <w:rPr>
          <w:rFonts w:ascii="Verdana" w:hAnsi="Verdana" w:eastAsia="Arial" w:cs="Arial"/>
          <w:szCs w:val="20"/>
        </w:rPr>
      </w:pPr>
      <w:r>
        <w:rPr>
          <w:rFonts w:eastAsia="Arial" w:cs="Arial" w:ascii="Verdana" w:hAnsi="Verdana"/>
          <w:szCs w:val="20"/>
        </w:rPr>
        <w:t xml:space="preserve">O adjudicatário terá o prazo de </w:t>
      </w:r>
      <w:r>
        <w:rPr>
          <w:rFonts w:eastAsia="Arial" w:cs="Arial" w:ascii="Verdana" w:hAnsi="Verdana"/>
          <w:b/>
          <w:bCs/>
          <w:szCs w:val="20"/>
        </w:rPr>
        <w:t>05 (cinco) dias úteis</w:t>
      </w:r>
      <w:r>
        <w:rPr>
          <w:rFonts w:eastAsia="Arial" w:cs="Arial" w:ascii="Verdana" w:hAnsi="Verdana"/>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pPr>
        <w:pStyle w:val="Normal"/>
        <w:numPr>
          <w:ilvl w:val="2"/>
          <w:numId w:val="1"/>
        </w:numPr>
        <w:spacing w:lineRule="auto" w:line="276" w:before="120" w:after="120"/>
        <w:jc w:val="both"/>
        <w:rPr>
          <w:rFonts w:ascii="Verdana" w:hAnsi="Verdana" w:eastAsia="Arial" w:cs="Arial"/>
          <w:szCs w:val="20"/>
        </w:rPr>
      </w:pPr>
      <w:r>
        <w:rPr>
          <w:rFonts w:eastAsia="Arial" w:cs="Arial" w:ascii="Verdana" w:hAnsi="Verdana"/>
          <w:szCs w:val="20"/>
        </w:rPr>
        <w:t xml:space="preserve">O prazo previsto para assinatura do contrato ou aceitação da nota de empenho ou instrumento equivalente poderá ser prorrogado </w:t>
      </w:r>
      <w:r>
        <w:rPr>
          <w:rFonts w:cs="Times New Roman" w:ascii="Verdana" w:hAnsi="Verdana"/>
          <w:bCs/>
          <w:szCs w:val="20"/>
        </w:rPr>
        <w:t>1 (uma) vez</w:t>
      </w:r>
      <w:r>
        <w:rPr>
          <w:rFonts w:eastAsia="Arial" w:cs="Arial" w:ascii="Verdana" w:hAnsi="Verdana"/>
          <w:szCs w:val="20"/>
        </w:rPr>
        <w:t>, por igual período, por solicitação justificada do adjudicatário e aceita pela Administração.</w:t>
      </w:r>
    </w:p>
    <w:p>
      <w:pPr>
        <w:pStyle w:val="Normal"/>
        <w:numPr>
          <w:ilvl w:val="1"/>
          <w:numId w:val="1"/>
        </w:numPr>
        <w:tabs>
          <w:tab w:val="clear" w:pos="708"/>
          <w:tab w:val="left" w:pos="574" w:leader="none"/>
        </w:tabs>
        <w:spacing w:lineRule="auto" w:line="276" w:before="120" w:after="120"/>
        <w:ind w:hanging="0" w:left="0"/>
        <w:jc w:val="both"/>
        <w:rPr>
          <w:rFonts w:ascii="Verdana" w:hAnsi="Verdana" w:eastAsia="Arial" w:cs="Arial"/>
          <w:iCs/>
          <w:szCs w:val="20"/>
        </w:rPr>
      </w:pPr>
      <w:r>
        <w:rPr>
          <w:rFonts w:eastAsia="Arial" w:cs="Arial" w:ascii="Verdana" w:hAnsi="Verdana"/>
          <w:iCs/>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referida Nota ou instrumento equivalente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Verdana" w:hAnsi="Verdana" w:eastAsia="Arial" w:cs="Arial"/>
          <w:iCs/>
          <w:szCs w:val="20"/>
        </w:rPr>
      </w:pPr>
      <w:r>
        <w:rPr>
          <w:rFonts w:eastAsia="Arial" w:cs="Arial" w:ascii="Verdana" w:hAnsi="Verdana"/>
          <w:iCs/>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Verdana" w:hAnsi="Verdana" w:eastAsia="Arial" w:cs="Arial"/>
          <w:i/>
          <w:szCs w:val="20"/>
        </w:rPr>
      </w:pPr>
      <w:r>
        <w:rPr>
          <w:rFonts w:eastAsia="Arial" w:cs="Arial" w:ascii="Verdana" w:hAnsi="Verdana"/>
          <w:iCs/>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tabs>
          <w:tab w:val="clear" w:pos="708"/>
          <w:tab w:val="left" w:pos="588" w:leader="none"/>
        </w:tabs>
        <w:spacing w:lineRule="auto" w:line="276" w:before="120" w:after="120"/>
        <w:ind w:hanging="0" w:left="0"/>
        <w:jc w:val="both"/>
        <w:rPr>
          <w:rFonts w:ascii="Verdana" w:hAnsi="Verdana" w:eastAsia="Arial" w:cs="Arial"/>
          <w:szCs w:val="20"/>
        </w:rPr>
      </w:pPr>
      <w:r>
        <w:rPr>
          <w:rFonts w:eastAsia="Arial" w:cs="Arial" w:ascii="Verdana" w:hAnsi="Verdana"/>
          <w:szCs w:val="20"/>
        </w:rPr>
        <w:t xml:space="preserve">O prazo de vigência da contratação é de </w:t>
      </w:r>
      <w:r>
        <w:rPr>
          <w:rFonts w:eastAsia="Arial" w:cs="Arial" w:ascii="Verdana" w:hAnsi="Verdana"/>
          <w:b/>
          <w:bCs/>
          <w:szCs w:val="20"/>
        </w:rPr>
        <w:t>30 (trinta) dias</w:t>
      </w:r>
      <w:r>
        <w:rPr>
          <w:rFonts w:eastAsia="Arial" w:cs="Arial" w:ascii="Verdana" w:hAnsi="Verdana"/>
          <w:szCs w:val="20"/>
        </w:rPr>
        <w:t xml:space="preserve"> </w:t>
      </w:r>
      <w:r>
        <w:rPr>
          <w:rFonts w:eastAsia="Arial" w:ascii="Verdana" w:hAnsi="Verdana"/>
        </w:rPr>
        <w:t>conforme previsão no Termo de Referência anexo a este Aviso de Contratação Direta.</w:t>
      </w:r>
    </w:p>
    <w:p>
      <w:pPr>
        <w:pStyle w:val="Normal"/>
        <w:numPr>
          <w:ilvl w:val="1"/>
          <w:numId w:val="1"/>
        </w:numPr>
        <w:tabs>
          <w:tab w:val="clear" w:pos="708"/>
          <w:tab w:val="left" w:pos="588" w:leader="none"/>
        </w:tabs>
        <w:spacing w:lineRule="auto" w:line="276" w:before="120" w:after="120"/>
        <w:ind w:hanging="0" w:left="0"/>
        <w:jc w:val="both"/>
        <w:rPr>
          <w:rFonts w:ascii="Verdana" w:hAnsi="Verdana" w:eastAsia="Arial" w:cs="Arial"/>
          <w:szCs w:val="20"/>
        </w:rPr>
      </w:pPr>
      <w:r>
        <w:rPr>
          <w:rFonts w:cs="Arial" w:ascii="Verdana" w:hAnsi="Verdana"/>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pPr>
        <w:pStyle w:val="Normal"/>
        <w:tabs>
          <w:tab w:val="clear" w:pos="708"/>
          <w:tab w:val="left" w:pos="588" w:leader="none"/>
        </w:tabs>
        <w:spacing w:lineRule="auto" w:line="276"/>
        <w:jc w:val="both"/>
        <w:rPr>
          <w:rFonts w:ascii="Verdana" w:hAnsi="Verdana" w:eastAsia="Arial" w:cs="Arial"/>
          <w:szCs w:val="20"/>
        </w:rPr>
      </w:pPr>
      <w:r>
        <w:rPr>
          <w:rFonts w:eastAsia="Arial" w:cs="Arial" w:ascii="Verdana" w:hAnsi="Verdana"/>
          <w:szCs w:val="20"/>
        </w:rPr>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SANÇÕES</w:t>
      </w:r>
    </w:p>
    <w:p>
      <w:pPr>
        <w:pStyle w:val="Normal"/>
        <w:numPr>
          <w:ilvl w:val="1"/>
          <w:numId w:val="1"/>
        </w:numPr>
        <w:tabs>
          <w:tab w:val="clear" w:pos="708"/>
          <w:tab w:val="left" w:pos="574" w:leader="none"/>
        </w:tabs>
        <w:spacing w:lineRule="auto" w:line="276" w:before="0" w:after="120"/>
        <w:ind w:hanging="0" w:left="0"/>
        <w:jc w:val="both"/>
        <w:rPr>
          <w:rFonts w:ascii="Verdana" w:hAnsi="Verdana" w:cs="Arial"/>
          <w:b/>
          <w:szCs w:val="20"/>
        </w:rPr>
      </w:pPr>
      <w:r>
        <w:rPr>
          <w:rFonts w:cs="Arial" w:ascii="Verdana" w:hAnsi="Verdana"/>
          <w:szCs w:val="2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dar causa à inexecução total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deixar de entregar a documentação exigida para o certame;</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manter a proposta, salvo em decorrência de fato superveniente devidamente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 </w:t>
      </w:r>
      <w:r>
        <w:rPr>
          <w:rFonts w:cs="Arial" w:ascii="Verdana" w:hAnsi="Verdana"/>
          <w:szCs w:val="20"/>
        </w:rPr>
        <w:t>ensejar o retardamento da execução ou da entrega do objeto da licitação sem motivo justificado;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fraudar a dispensa eletrônica ou praticar ato fraudulento na execução do contrato;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 </w:t>
      </w:r>
      <w:r>
        <w:rPr>
          <w:rFonts w:cs="Arial" w:ascii="Verdana" w:hAnsi="Verdana"/>
          <w:szCs w:val="20"/>
        </w:rPr>
        <w:t>comportar-se de modo inidôneo ou cometer fraude de qualquer natureza;</w:t>
      </w:r>
    </w:p>
    <w:p>
      <w:pPr>
        <w:pStyle w:val="ListParagraph"/>
        <w:numPr>
          <w:ilvl w:val="3"/>
          <w:numId w:val="1"/>
        </w:numPr>
        <w:spacing w:lineRule="auto" w:line="276" w:before="120" w:after="120"/>
        <w:contextualSpacing/>
        <w:jc w:val="both"/>
        <w:rPr>
          <w:rFonts w:ascii="Verdana" w:hAnsi="Verdana" w:cs="Arial"/>
          <w:szCs w:val="20"/>
        </w:rPr>
      </w:pPr>
      <w:r>
        <w:rPr>
          <w:rFonts w:cs="Arial" w:ascii="Verdana" w:hAnsi="Verdana"/>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ind w:hanging="425" w:left="1134"/>
        <w:jc w:val="both"/>
        <w:rPr>
          <w:rFonts w:ascii="Verdana" w:hAnsi="Verdana" w:cs="Arial"/>
          <w:szCs w:val="20"/>
        </w:rPr>
      </w:pPr>
      <w:r>
        <w:rPr>
          <w:rFonts w:cs="Arial" w:ascii="Verdana" w:hAnsi="Verdana"/>
          <w:szCs w:val="20"/>
        </w:rPr>
        <w:t> </w:t>
      </w:r>
      <w:r>
        <w:rPr>
          <w:rFonts w:cs="Arial" w:ascii="Verdana" w:hAnsi="Verdana"/>
          <w:szCs w:val="20"/>
        </w:rPr>
        <w:t>praticar atos ilícitos com vistas a frustrar os objetivos deste certame.</w:t>
      </w:r>
    </w:p>
    <w:p>
      <w:pPr>
        <w:pStyle w:val="Normal"/>
        <w:numPr>
          <w:ilvl w:val="2"/>
          <w:numId w:val="1"/>
        </w:numPr>
        <w:spacing w:lineRule="auto" w:line="276" w:before="120" w:after="120"/>
        <w:ind w:hanging="406" w:left="1134"/>
        <w:jc w:val="both"/>
        <w:rPr>
          <w:rFonts w:ascii="Verdana" w:hAnsi="Verdana"/>
          <w:szCs w:val="20"/>
        </w:rPr>
      </w:pPr>
      <w:r>
        <w:rPr>
          <w:rFonts w:cs="Arial" w:ascii="Verdana" w:hAnsi="Verdana"/>
          <w:szCs w:val="20"/>
        </w:rPr>
        <w:t>praticar ato lesivo previsto no </w:t>
      </w:r>
      <w:r>
        <w:fldChar w:fldCharType="begin"/>
      </w:r>
      <w:r>
        <w:rPr>
          <w:rStyle w:val="Style8"/>
          <w:rFonts w:ascii="Verdana" w:hAnsi="Verdana"/>
          <w:szCs w:val="20"/>
        </w:rPr>
        <w:instrText xml:space="preserve"> HYPERLINK "http://www.planalto.gov.br/ccivil_03/_Ato2011-2014/2013/Lei/L12846.htm" \l "art5"</w:instrText>
      </w:r>
      <w:r>
        <w:rPr>
          <w:rStyle w:val="Style8"/>
          <w:rFonts w:ascii="Verdana" w:hAnsi="Verdana"/>
          <w:szCs w:val="20"/>
        </w:rPr>
        <w:fldChar w:fldCharType="separate"/>
      </w:r>
      <w:r>
        <w:rPr>
          <w:rStyle w:val="Style8"/>
          <w:rFonts w:ascii="Verdana" w:hAnsi="Verdana"/>
          <w:szCs w:val="20"/>
        </w:rPr>
        <w:t>art. 5º da Lei nº 12.846, de 1º de agosto de 2013.</w:t>
      </w:r>
      <w:r>
        <w:rPr>
          <w:rStyle w:val="Style8"/>
          <w:rFonts w:ascii="Verdana" w:hAnsi="Verdana"/>
          <w:szCs w:val="20"/>
        </w:rPr>
        <w:fldChar w:fldCharType="end"/>
      </w:r>
    </w:p>
    <w:p>
      <w:pPr>
        <w:pStyle w:val="Normal"/>
        <w:numPr>
          <w:ilvl w:val="1"/>
          <w:numId w:val="1"/>
        </w:numPr>
        <w:tabs>
          <w:tab w:val="clear" w:pos="708"/>
          <w:tab w:val="left" w:pos="574" w:leader="none"/>
        </w:tabs>
        <w:spacing w:lineRule="auto" w:line="276" w:before="120" w:after="120"/>
        <w:ind w:hanging="0" w:left="0"/>
        <w:jc w:val="both"/>
        <w:rPr>
          <w:rFonts w:ascii="Verdana" w:hAnsi="Verdana" w:cs="Arial"/>
          <w:b/>
          <w:szCs w:val="20"/>
        </w:rPr>
      </w:pPr>
      <w:r>
        <w:rPr>
          <w:rFonts w:cs="Arial" w:ascii="Verdana" w:hAnsi="Verdana"/>
          <w:szCs w:val="20"/>
        </w:rPr>
        <w:t>O fornecedor que cometer qualquer das infrações discriminadas nos subitens anteriores ficará sujeito, sem prejuízo da responsabilidade civil e criminal, às seguintes sanções:</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Advertência pela falta do subitem 8.1.1 deste Aviso de Contratação Direta,</w:t>
      </w:r>
      <w:r>
        <w:rPr>
          <w:rFonts w:ascii="Verdana" w:hAnsi="Verdana"/>
          <w:szCs w:val="20"/>
        </w:rPr>
        <w:t xml:space="preserve"> </w:t>
      </w:r>
      <w:r>
        <w:rPr>
          <w:rFonts w:cs="Arial" w:ascii="Verdana" w:hAnsi="Verdana"/>
          <w:szCs w:val="20"/>
        </w:rPr>
        <w:t>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Multa de 30% (trinta por cento) sobre o valor estimado do(s) item(s) prejudicado(s) pela conduta do fornecedor, por qualquer das infrações dos subitens 8.1.1 a 8.1.12;</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pPr>
        <w:pStyle w:val="Normal"/>
        <w:numPr>
          <w:ilvl w:val="2"/>
          <w:numId w:val="3"/>
        </w:numPr>
        <w:spacing w:lineRule="auto" w:line="276" w:before="120" w:after="120"/>
        <w:jc w:val="both"/>
        <w:rPr>
          <w:rFonts w:ascii="Verdana" w:hAnsi="Verdana" w:cs="Arial"/>
          <w:szCs w:val="20"/>
        </w:rPr>
      </w:pPr>
      <w:r>
        <w:rPr>
          <w:rFonts w:cs="Arial" w:ascii="Verdana" w:hAnsi="Verdana"/>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bCs/>
          <w:szCs w:val="20"/>
        </w:rPr>
      </w:pPr>
      <w:r>
        <w:rPr>
          <w:rFonts w:cs="Arial" w:ascii="Verdana" w:hAnsi="Verdana"/>
          <w:bCs/>
          <w:szCs w:val="20"/>
        </w:rPr>
        <w:t>Na aplicação das sanções serão considerados: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natureza e a gravidade da infração cometida;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peculiaridades do caso concreto;</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as circunstâncias agravantes ou atenuantes;</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os danos que dela provierem para a Administração Pública;</w:t>
      </w:r>
    </w:p>
    <w:p>
      <w:pPr>
        <w:pStyle w:val="Normal"/>
        <w:numPr>
          <w:ilvl w:val="2"/>
          <w:numId w:val="1"/>
        </w:numPr>
        <w:spacing w:lineRule="auto" w:line="276" w:before="120" w:after="120"/>
        <w:jc w:val="both"/>
        <w:rPr>
          <w:rFonts w:ascii="Verdana" w:hAnsi="Verdana" w:cs="Arial"/>
          <w:bCs/>
          <w:szCs w:val="20"/>
        </w:rPr>
      </w:pPr>
      <w:r>
        <w:rPr>
          <w:rFonts w:cs="Arial" w:ascii="Verdana" w:hAnsi="Verdana"/>
          <w:bCs/>
          <w:szCs w:val="20"/>
        </w:rPr>
        <w:t>a implantação ou o aperfeiçoamento de programa de integridade, conforme normas e orientações dos órgãos de controle.</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bookmarkStart w:id="4" w:name="art156%252525252525C2%252525252525A78"/>
      <w:bookmarkStart w:id="5" w:name="art156%252525252525C2%252525252525A77"/>
      <w:bookmarkStart w:id="6" w:name="art156%252525252525C2%252525252525A76"/>
      <w:bookmarkEnd w:id="4"/>
      <w:bookmarkEnd w:id="5"/>
      <w:bookmarkEnd w:id="6"/>
      <w:r>
        <w:rPr>
          <w:rFonts w:cs="Arial" w:ascii="Verdana" w:hAnsi="Verdana"/>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252525C2%252525252525A79"/>
      <w:bookmarkEnd w:id="7"/>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aplicação das sanções previstas neste Aviso de Contratação Direta, em hipótese alguma, a obrigação de reparação integral do dano causado à Administração Pública.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penalidade de multa pode ser aplicada cumulativamente com as demais sanções.</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tabs>
          <w:tab w:val="clear" w:pos="708"/>
          <w:tab w:val="left" w:pos="588" w:leader="none"/>
        </w:tabs>
        <w:spacing w:lineRule="auto" w:line="276" w:before="120" w:after="120"/>
        <w:ind w:hanging="0" w:left="0"/>
        <w:jc w:val="both"/>
        <w:rPr>
          <w:rFonts w:ascii="Verdana" w:hAnsi="Verdana" w:cs="Arial"/>
          <w:szCs w:val="20"/>
        </w:rPr>
      </w:pPr>
      <w:r>
        <w:rPr>
          <w:rFonts w:cs="Arial" w:ascii="Verdana" w:hAnsi="Verdana"/>
          <w:szCs w:val="20"/>
        </w:rPr>
        <w:t>As sanções por atos praticados no decorrer da contratação estão previstas nos anexos a este Aviso.</w:t>
      </w:r>
    </w:p>
    <w:p>
      <w:pPr>
        <w:pStyle w:val="PADRO"/>
        <w:keepNext w:val="false"/>
        <w:widowControl/>
        <w:numPr>
          <w:ilvl w:val="0"/>
          <w:numId w:val="1"/>
        </w:numPr>
        <w:shd w:val="clear" w:color="auto" w:fill="auto"/>
        <w:spacing w:before="0" w:after="0"/>
        <w:rPr>
          <w:rFonts w:ascii="Verdana" w:hAnsi="Verdana" w:cs="Arial"/>
          <w:b/>
          <w:szCs w:val="20"/>
        </w:rPr>
      </w:pPr>
      <w:r>
        <w:rPr>
          <w:rFonts w:cs="Arial" w:ascii="Verdana" w:hAnsi="Verdana"/>
          <w:b/>
          <w:szCs w:val="20"/>
        </w:rPr>
        <w:t>DAS DISPOSIÇÕES GERAIS</w:t>
      </w:r>
    </w:p>
    <w:p>
      <w:pPr>
        <w:pStyle w:val="Normal"/>
        <w:numPr>
          <w:ilvl w:val="1"/>
          <w:numId w:val="1"/>
        </w:numPr>
        <w:tabs>
          <w:tab w:val="clear" w:pos="708"/>
          <w:tab w:val="left" w:pos="504" w:leader="none"/>
        </w:tabs>
        <w:snapToGrid w:val="false"/>
        <w:spacing w:lineRule="auto" w:line="276" w:before="0" w:after="120"/>
        <w:ind w:hanging="0" w:left="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tabs>
          <w:tab w:val="clear" w:pos="708"/>
          <w:tab w:val="left" w:pos="504" w:leader="none"/>
        </w:tabs>
        <w:snapToGrid w:val="false"/>
        <w:spacing w:lineRule="auto" w:line="276" w:before="120" w:after="120"/>
        <w:ind w:hanging="0" w:left="0"/>
        <w:jc w:val="both"/>
        <w:rPr>
          <w:rFonts w:ascii="Verdana" w:hAnsi="Verdana" w:cs="Arial"/>
          <w:szCs w:val="20"/>
        </w:rPr>
      </w:pPr>
      <w:r>
        <w:rPr>
          <w:rFonts w:cs="Arial" w:ascii="Verdana" w:hAnsi="Verdana"/>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republicar o presente aviso com uma nova data;</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Verdana" w:hAnsi="Verdana" w:cs="Arial"/>
          <w:szCs w:val="20"/>
        </w:rPr>
      </w:pPr>
      <w:r>
        <w:rPr>
          <w:rFonts w:cs="Arial" w:ascii="Verdana" w:hAnsi="Verdana"/>
          <w:szCs w:val="20"/>
        </w:rPr>
        <w:t>No caso do subitem anterior, a contratação será operacionalizada fora deste procedimento.</w:t>
      </w:r>
    </w:p>
    <w:p>
      <w:pPr>
        <w:pStyle w:val="Normal"/>
        <w:numPr>
          <w:ilvl w:val="2"/>
          <w:numId w:val="1"/>
        </w:numPr>
        <w:spacing w:lineRule="auto" w:line="276" w:before="120" w:after="120"/>
        <w:jc w:val="both"/>
        <w:rPr>
          <w:rFonts w:ascii="Verdana" w:hAnsi="Verdana" w:cs="Arial"/>
          <w:szCs w:val="20"/>
        </w:rPr>
      </w:pPr>
      <w:r>
        <w:rPr>
          <w:rFonts w:cs="Arial" w:ascii="Verdana" w:hAnsi="Verdana"/>
          <w:szCs w:val="20"/>
        </w:rPr>
        <w:t>fixar prazo para que possa haver adequação das propostas ou da documentação de habilitação, conforme o caso.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As providências dos subitens 9.2.1 e 9.2.2 acima poderão ser utilizadas se não houver o comparecimento de quaisquer fornecedores interessados (procedimento deserto).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Em caso de divergência entre disposições deste Aviso de Contratação Direta e de seus anexos ou demais peças que compõem o processo, prevalecerá as deste Aviso.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Pr>
          <w:rFonts w:ascii="Verdana" w:hAnsi="Verdana"/>
          <w:highlight w:val="yellow"/>
        </w:rPr>
        <w:t>02</w:t>
      </w:r>
      <w:r>
        <w:rPr>
          <w:rFonts w:ascii="Verdana" w:hAnsi="Verdana"/>
          <w:highlight w:val="yellow"/>
        </w:rPr>
        <w:t xml:space="preserve"> (</w:t>
      </w:r>
      <w:r>
        <w:rPr>
          <w:rFonts w:ascii="Verdana" w:hAnsi="Verdana"/>
          <w:highlight w:val="yellow"/>
        </w:rPr>
        <w:t xml:space="preserve">duas </w:t>
      </w:r>
      <w:r>
        <w:rPr>
          <w:rFonts w:ascii="Verdana" w:hAnsi="Verdana"/>
          <w:highlight w:val="yellow"/>
        </w:rPr>
        <w:t>hora</w:t>
      </w:r>
      <w:r>
        <w:rPr>
          <w:rFonts w:ascii="Verdana" w:hAnsi="Verdana"/>
          <w:highlight w:val="yellow"/>
        </w:rPr>
        <w:t>s</w:t>
      </w:r>
      <w:r>
        <w:rPr>
          <w:rFonts w:ascii="Verdana" w:hAnsi="Verdana"/>
          <w:highlight w:val="yellow"/>
        </w:rPr>
        <w:t>) após o pedido, salvo:</w:t>
      </w:r>
    </w:p>
    <w:p>
      <w:pPr>
        <w:pStyle w:val="Normal"/>
        <w:tabs>
          <w:tab w:val="clear" w:pos="708"/>
          <w:tab w:val="left" w:pos="518" w:leader="none"/>
        </w:tabs>
        <w:spacing w:lineRule="auto" w:line="276" w:before="120" w:after="120"/>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pPr>
        <w:pStyle w:val="Normal"/>
        <w:tabs>
          <w:tab w:val="clear" w:pos="708"/>
          <w:tab w:val="left" w:pos="518" w:leader="none"/>
        </w:tabs>
        <w:spacing w:lineRule="auto" w:line="276" w:before="120" w:after="120"/>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pPr>
        <w:pStyle w:val="Normal"/>
        <w:numPr>
          <w:ilvl w:val="1"/>
          <w:numId w:val="1"/>
        </w:numPr>
        <w:tabs>
          <w:tab w:val="clear" w:pos="708"/>
          <w:tab w:val="left" w:pos="518" w:leader="none"/>
        </w:tabs>
        <w:spacing w:lineRule="auto" w:line="276" w:before="120" w:after="120"/>
        <w:ind w:hanging="0" w:left="0"/>
        <w:jc w:val="both"/>
        <w:rPr>
          <w:rFonts w:ascii="Verdana" w:hAnsi="Verdana" w:cs="Arial"/>
          <w:szCs w:val="20"/>
        </w:rPr>
      </w:pPr>
      <w:r>
        <w:rPr>
          <w:rFonts w:cs="Arial" w:ascii="Verdana" w:hAnsi="Verdana"/>
          <w:szCs w:val="20"/>
        </w:rPr>
        <w:t>Da sessão pública será divulgada Ata no sistema eletrônico.</w:t>
      </w:r>
    </w:p>
    <w:p>
      <w:pPr>
        <w:pStyle w:val="Normal"/>
        <w:numPr>
          <w:ilvl w:val="1"/>
          <w:numId w:val="1"/>
        </w:numPr>
        <w:tabs>
          <w:tab w:val="clear" w:pos="708"/>
          <w:tab w:val="left" w:pos="518" w:leader="none"/>
        </w:tabs>
        <w:spacing w:lineRule="auto" w:line="276"/>
        <w:ind w:hanging="0" w:left="0"/>
        <w:jc w:val="both"/>
        <w:rPr>
          <w:rFonts w:ascii="Verdana" w:hAnsi="Verdana" w:cs="Arial"/>
          <w:szCs w:val="20"/>
        </w:rPr>
      </w:pPr>
      <w:r>
        <w:rPr>
          <w:rFonts w:cs="Arial" w:ascii="Verdana" w:hAnsi="Verdana"/>
          <w:szCs w:val="20"/>
        </w:rPr>
        <w:t>Integram este Aviso de Contratação Direta, para todos os fins e efeitos, os seguintes anexos:</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w:t>
      </w:r>
      <w:r>
        <w:rPr>
          <w:rFonts w:cs="Arial" w:ascii="Verdana" w:hAnsi="Verdana"/>
          <w:szCs w:val="20"/>
        </w:rPr>
        <w:t xml:space="preserve"> – Documentação exigida para Habilitação;</w:t>
      </w:r>
    </w:p>
    <w:p>
      <w:pPr>
        <w:pStyle w:val="Normal"/>
        <w:numPr>
          <w:ilvl w:val="2"/>
          <w:numId w:val="1"/>
        </w:numPr>
        <w:tabs>
          <w:tab w:val="clear" w:pos="708"/>
          <w:tab w:val="left" w:pos="1560" w:leader="none"/>
        </w:tabs>
        <w:spacing w:lineRule="auto" w:line="276"/>
        <w:jc w:val="both"/>
        <w:rPr>
          <w:rFonts w:ascii="Verdana" w:hAnsi="Verdana" w:cs="Arial"/>
          <w:szCs w:val="20"/>
        </w:rPr>
      </w:pPr>
      <w:r>
        <w:rPr>
          <w:rFonts w:cs="Arial" w:ascii="Verdana" w:hAnsi="Verdana"/>
          <w:b/>
          <w:bCs/>
          <w:szCs w:val="20"/>
        </w:rPr>
        <w:t>ANEXO II</w:t>
      </w:r>
      <w:r>
        <w:rPr>
          <w:rFonts w:cs="Arial" w:ascii="Verdana" w:hAnsi="Verdana"/>
          <w:szCs w:val="20"/>
        </w:rPr>
        <w:t xml:space="preserve"> – Termo de Referência;</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9.15.2.1 ANEXO II-1</w:t>
      </w:r>
      <w:r>
        <w:rPr>
          <w:rFonts w:cs="Arial" w:ascii="Verdana" w:hAnsi="Verdana"/>
          <w:szCs w:val="20"/>
        </w:rPr>
        <w:t xml:space="preserve"> – Estudo Técnico Preliminar;</w:t>
      </w:r>
    </w:p>
    <w:p>
      <w:pPr>
        <w:pStyle w:val="ListParagraph"/>
        <w:tabs>
          <w:tab w:val="clear" w:pos="708"/>
          <w:tab w:val="left" w:pos="1560" w:leader="none"/>
        </w:tabs>
        <w:spacing w:lineRule="auto" w:line="276"/>
        <w:ind w:left="360"/>
        <w:jc w:val="both"/>
        <w:rPr>
          <w:rFonts w:ascii="Verdana" w:hAnsi="Verdana" w:cs="Arial"/>
          <w:szCs w:val="20"/>
        </w:rPr>
      </w:pPr>
      <w:r>
        <w:rPr>
          <w:rFonts w:cs="Arial" w:ascii="Verdana" w:hAnsi="Verdana"/>
          <w:b/>
          <w:bCs/>
          <w:szCs w:val="20"/>
        </w:rPr>
        <w:tab/>
        <w:t>9.15.2.2 ANEXO II-2</w:t>
      </w:r>
      <w:r>
        <w:rPr>
          <w:rFonts w:cs="Arial" w:ascii="Verdana" w:hAnsi="Verdana"/>
          <w:szCs w:val="20"/>
        </w:rPr>
        <w:t xml:space="preserve"> – Modelo de Proposta;</w:t>
      </w:r>
    </w:p>
    <w:p>
      <w:pPr>
        <w:pStyle w:val="ListParagraph"/>
        <w:tabs>
          <w:tab w:val="clear" w:pos="708"/>
          <w:tab w:val="left" w:pos="1560" w:leader="none"/>
        </w:tabs>
        <w:spacing w:lineRule="auto" w:line="276"/>
        <w:ind w:left="851"/>
        <w:jc w:val="both"/>
        <w:rPr>
          <w:rFonts w:ascii="Verdana" w:hAnsi="Verdana" w:cs="Arial"/>
          <w:szCs w:val="20"/>
        </w:rPr>
      </w:pPr>
      <w:r>
        <w:rPr>
          <w:rFonts w:cs="Arial" w:ascii="Verdana" w:hAnsi="Verdana"/>
          <w:b/>
          <w:bCs/>
          <w:szCs w:val="20"/>
        </w:rPr>
        <w:t>9.15.3. ANEXO III</w:t>
      </w:r>
      <w:r>
        <w:rPr>
          <w:rFonts w:cs="Arial" w:ascii="Verdana" w:hAnsi="Verdana"/>
          <w:szCs w:val="20"/>
        </w:rPr>
        <w:t xml:space="preserve"> – Minuta de Contrato.</w:t>
      </w:r>
    </w:p>
    <w:p>
      <w:pPr>
        <w:pStyle w:val="Normal"/>
        <w:tabs>
          <w:tab w:val="clear" w:pos="708"/>
          <w:tab w:val="left" w:pos="1560" w:leader="none"/>
        </w:tabs>
        <w:spacing w:lineRule="auto" w:line="276"/>
        <w:ind w:left="1224"/>
        <w:jc w:val="both"/>
        <w:rPr>
          <w:rFonts w:ascii="Verdana" w:hAnsi="Verdana" w:cs="Arial"/>
          <w:szCs w:val="20"/>
        </w:rPr>
      </w:pPr>
      <w:r>
        <w:rPr>
          <w:rFonts w:cs="Arial" w:ascii="Verdana" w:hAnsi="Verdana"/>
          <w:szCs w:val="20"/>
        </w:rPr>
      </w:r>
    </w:p>
    <w:p>
      <w:pPr>
        <w:pStyle w:val="Normal"/>
        <w:spacing w:lineRule="auto" w:line="276" w:before="0" w:after="120"/>
        <w:ind w:left="360" w:right="-15"/>
        <w:jc w:val="center"/>
        <w:rPr>
          <w:rFonts w:ascii="Verdana" w:hAnsi="Verdana" w:cs="Arial"/>
          <w:szCs w:val="20"/>
        </w:rPr>
      </w:pPr>
      <w:r>
        <w:rPr>
          <w:rFonts w:cs="Arial" w:ascii="Verdana" w:hAnsi="Verdana"/>
          <w:szCs w:val="20"/>
        </w:rPr>
        <w:t xml:space="preserve">São Gabriel da Palha – </w:t>
      </w:r>
      <w:r>
        <w:rPr>
          <w:rFonts w:cs="Arial" w:ascii="Verdana" w:hAnsi="Verdana"/>
          <w:szCs w:val="20"/>
        </w:rPr>
        <w:t>ES, 07 de maio de 2026.</w:t>
      </w:r>
    </w:p>
    <w:p>
      <w:pPr>
        <w:pStyle w:val="Normal"/>
        <w:spacing w:lineRule="auto" w:line="276" w:before="0" w:after="120"/>
        <w:ind w:left="360" w:right="-15"/>
        <w:jc w:val="center"/>
        <w:rPr>
          <w:rFonts w:ascii="Verdana" w:hAnsi="Verdana" w:cs="Arial"/>
          <w:szCs w:val="20"/>
        </w:rPr>
      </w:pPr>
      <w:r>
        <w:rPr>
          <w:rFonts w:cs="Arial" w:ascii="Verdana" w:hAnsi="Verdana"/>
          <w:szCs w:val="20"/>
        </w:rPr>
      </w:r>
    </w:p>
    <w:p>
      <w:pPr>
        <w:pStyle w:val="Normal"/>
        <w:spacing w:lineRule="auto" w:line="276" w:before="0" w:after="120"/>
        <w:ind w:left="360" w:right="-15"/>
        <w:jc w:val="center"/>
        <w:rPr>
          <w:rFonts w:ascii="Verdana" w:hAnsi="Verdana" w:cs="Arial"/>
          <w:szCs w:val="20"/>
        </w:rPr>
      </w:pPr>
      <w:r>
        <w:rPr>
          <w:rFonts w:cs="Arial" w:ascii="Verdana" w:hAnsi="Verdana"/>
          <w:szCs w:val="20"/>
        </w:rPr>
      </w:r>
    </w:p>
    <w:p>
      <w:pPr>
        <w:pStyle w:val="Normal"/>
        <w:spacing w:lineRule="auto" w:line="276"/>
        <w:jc w:val="center"/>
        <w:rPr>
          <w:rFonts w:ascii="Verdana" w:hAnsi="Verdana" w:cs="Arial"/>
          <w:b/>
          <w:bCs/>
          <w:iCs/>
          <w:szCs w:val="20"/>
        </w:rPr>
      </w:pPr>
      <w:r>
        <w:rPr>
          <w:rFonts w:cs="Arial" w:ascii="Verdana" w:hAnsi="Verdana"/>
          <w:b/>
          <w:bCs/>
          <w:iCs/>
          <w:szCs w:val="20"/>
        </w:rPr>
        <w:t>ERLITON DE MELLO BRAZ</w:t>
      </w:r>
    </w:p>
    <w:p>
      <w:pPr>
        <w:pStyle w:val="Normal"/>
        <w:spacing w:lineRule="auto" w:line="276"/>
        <w:jc w:val="center"/>
        <w:rPr>
          <w:rFonts w:ascii="Verdana" w:hAnsi="Verdana" w:cs="Arial"/>
          <w:szCs w:val="20"/>
        </w:rPr>
      </w:pPr>
      <w:r>
        <w:rPr>
          <w:rFonts w:cs="Arial" w:ascii="Verdana" w:hAnsi="Verdana"/>
          <w:b/>
          <w:bCs/>
          <w:iCs/>
          <w:szCs w:val="20"/>
        </w:rPr>
        <w:t>Agente de Contratação</w:t>
      </w:r>
    </w:p>
    <w:sectPr>
      <w:headerReference w:type="even" r:id="rId6"/>
      <w:headerReference w:type="default" r:id="rId7"/>
      <w:headerReference w:type="first" r:id="rId8"/>
      <w:type w:val="nextPage"/>
      <w:pgSz w:w="11906" w:h="16838"/>
      <w:pgMar w:left="1134" w:right="849" w:gutter="0" w:header="567" w:top="1418" w:footer="0" w:bottom="709"/>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swiss"/>
    <w:pitch w:val="variable"/>
  </w:font>
  <w:font w:name="Ecofont_Spranq_eco_Sans">
    <w:charset w:val="00"/>
    <w:family w:val="roman"/>
    <w:pitch w:val="variable"/>
  </w:font>
  <w:font w:name="Segoe UI">
    <w:charset w:val="00"/>
    <w:family w:val="swiss"/>
    <w:pitch w:val="variable"/>
  </w:font>
  <w:font w:name="Liberation Sans">
    <w:altName w:val="Arial"/>
    <w:charset w:val="00"/>
    <w:family w:val="swiss"/>
    <w:pitch w:val="variable"/>
  </w:font>
  <w:font w:name="Verdana">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 id="PowerPlusWaterMarkObject259915282" o:spid="shape_0" coordsize="1916,1905" stroked="f" o:allowincell="f" style="position:absolute;margin-left:0.05pt;margin-top:0pt;width:54.25pt;height:53.9pt;mso-wrap-style:none;v-text-anchor:middle;mso-position-horizontal:center;mso-position-horizontal-relative:margin;mso-position-vertical:center;mso-position-vertical-relative:margin" path="m0,8l0,8xm6,1l0,8l7,0l6,1xm0,8l0,8xm1914,1904l0,8l1915,1903l1914,1904xe">
          <v:fill o:detectmouseclick="t" on="false"/>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distT="0" distB="0" distL="114935" distR="114935" simplePos="0" relativeHeight="11" behindDoc="1" locked="0" layoutInCell="0" allowOverlap="1">
          <wp:simplePos x="0" y="0"/>
          <wp:positionH relativeFrom="column">
            <wp:posOffset>175260</wp:posOffset>
          </wp:positionH>
          <wp:positionV relativeFrom="paragraph">
            <wp:posOffset>-86360</wp:posOffset>
          </wp:positionV>
          <wp:extent cx="647700" cy="542925"/>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a:noFill/>
                </pic:spPr>
              </pic:pic>
            </a:graphicData>
          </a:graphic>
        </wp:anchor>
      </w:drawing>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shape_0" adj="10800" fillcolor="white" stroked="f" o:allowincell="f" style="position:absolute;margin-left:243.45pt;margin-top:367.2pt;width:9.2pt;height: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b/>
        <w:bCs/>
        <w:szCs w:val="20"/>
      </w:rPr>
    </w:pPr>
    <w:r>
      <w:drawing>
        <wp:anchor distT="0" distB="0" distL="114935" distR="114935" simplePos="0" relativeHeight="11" behindDoc="1" locked="0" layoutInCell="0" allowOverlap="1">
          <wp:simplePos x="0" y="0"/>
          <wp:positionH relativeFrom="column">
            <wp:posOffset>175260</wp:posOffset>
          </wp:positionH>
          <wp:positionV relativeFrom="paragraph">
            <wp:posOffset>-86360</wp:posOffset>
          </wp:positionV>
          <wp:extent cx="647700" cy="54292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a:noFill/>
                </pic:spPr>
              </pic:pic>
            </a:graphicData>
          </a:graphic>
        </wp:anchor>
      </w:drawing>
      <w:pict>
        <v:shape id="PowerPlusWaterMarkObject259915283" o:spid="shape_0" adj="10800" fillcolor="white" stroked="f" o:allowincell="f" style="position:absolute;margin-left:243.45pt;margin-top:367.2pt;width:9.2pt;height:1pt;mso-wrap-style:none;v-text-anchor:middle;rotation:315;mso-position-horizontal:center;mso-position-horizontal-relative:margin;mso-position-vertical:center;mso-position-vertical-relative:margin" type="_x0000_t136">
          <v:path textpathok="t"/>
          <v:textpath on="t" fitshape="t" string="MINUTA DE EDITAL" style="font-family:&quot;Arial&quot;;font-size:1pt" trim="t"/>
          <v:fill o:detectmouseclick="t" type="solid" color2="black"/>
          <v:stroke color="#3465a4" joinstyle="round" endcap="flat"/>
          <w10:wrap type="none"/>
        </v:shape>
      </w:pict>
    </w:r>
    <w:r>
      <w:rPr>
        <w:rFonts w:cs="Verdana" w:ascii="Verdana" w:hAnsi="Verdana"/>
        <w:b/>
        <w:bCs/>
        <w:szCs w:val="20"/>
      </w:rPr>
      <w:t>PREFEITURA MUNICIPAL DE SÃO GABRIEL DA PALHA</w:t>
      <w:br/>
    </w:r>
    <w:r>
      <w:rPr>
        <w:rFonts w:cs="Calibri" w:ascii="Verdana" w:hAnsi="Verdana"/>
        <w:b/>
        <w:bCs/>
        <w:szCs w:val="20"/>
      </w:rPr>
      <w:t>ESTADO DO ESPÍRITO SANTO</w:t>
    </w:r>
    <w:r>
      <w:rPr>
        <w:rFonts w:cs="Verdana" w:ascii="Verdana" w:hAnsi="Verdana"/>
        <w:b/>
        <w:bCs/>
        <w:szCs w:val="20"/>
      </w:rPr>
      <w:t xml:space="preserve"> </w:t>
    </w:r>
  </w:p>
  <w:p>
    <w:pPr>
      <w:pStyle w:val="Normal"/>
      <w:jc w:val="center"/>
      <w:rPr>
        <w:rFonts w:ascii="Verdana" w:hAnsi="Verdana"/>
        <w:b/>
        <w:bCs/>
        <w:szCs w:val="20"/>
      </w:rPr>
    </w:pPr>
    <w:r>
      <w:rPr>
        <w:rFonts w:cs="Calibri" w:ascii="Verdana" w:hAnsi="Verdana"/>
        <w:b/>
        <w:bCs/>
        <w:szCs w:val="20"/>
      </w:rPr>
      <w:t xml:space="preserve"> </w:t>
    </w:r>
    <w:r>
      <w:rPr>
        <w:rFonts w:cs="Calibri" w:ascii="Verdana" w:hAnsi="Verdana"/>
        <w:b/>
        <w:bCs/>
        <w:szCs w:val="20"/>
      </w:rPr>
      <w:t>Secretaria Municipal de Administração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false"/>
        <w:iCs/>
        <w:color w:val="auto"/>
        <w:sz w:val="20"/>
        <w:szCs w:val="20"/>
      </w:rPr>
    </w:lvl>
    <w:lvl w:ilvl="2">
      <w:start w:val="1"/>
      <w:numFmt w:val="decimal"/>
      <w:lvlText w:val="%1.%2.%3."/>
      <w:lvlJc w:val="left"/>
      <w:pPr>
        <w:tabs>
          <w:tab w:val="num" w:pos="0"/>
        </w:tabs>
        <w:ind w:left="1224" w:hanging="504"/>
      </w:pPr>
      <w:rPr>
        <w:rFonts w:ascii="Verdana" w:hAnsi="Verdana" w:cs="Arial"/>
        <w:b/>
        <w:i w:val="false"/>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false"/>
        <w:i w:val="false"/>
        <w:iCs/>
      </w:rPr>
    </w:lvl>
    <w:lvl w:ilvl="2">
      <w:start w:val="1"/>
      <w:numFmt w:val="lowerLetter"/>
      <w:lvlText w:val="%3)"/>
      <w:lvlJc w:val="left"/>
      <w:pPr>
        <w:tabs>
          <w:tab w:val="num" w:pos="0"/>
        </w:tabs>
        <w:ind w:left="1224" w:hanging="504"/>
      </w:pPr>
      <w:rPr>
        <w:b/>
        <w:bCs/>
        <w:i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auto"/>
      <w:kern w:val="0"/>
      <w:sz w:val="20"/>
      <w:szCs w:val="24"/>
      <w:lang w:val="pt-BR" w:eastAsia="pt-BR" w:bidi="ar-SA"/>
    </w:rPr>
  </w:style>
  <w:style w:type="paragraph" w:styleId="Heading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themeColor="accent1" w:themeShade="bf" w:val="2F5496"/>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Comment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InternetLink" w:customStyle="1">
    <w:name w:val="Internet Link"/>
    <w:basedOn w:val="DefaultParagraphFont"/>
    <w:unhideWhenUsed/>
    <w:qFormat/>
    <w:rsid w:val="005c474f"/>
    <w:rPr>
      <w:color w:themeColor="hyperlink" w:val="0563C1"/>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name w:val="Unresolved Mention"/>
    <w:basedOn w:val="DefaultParagraphFont"/>
    <w:uiPriority w:val="99"/>
    <w:semiHidden/>
    <w:unhideWhenUsed/>
    <w:qFormat/>
    <w:rsid w:val="005c474f"/>
    <w:rPr>
      <w:color w:val="605E5C"/>
      <w:shd w:fill="E1DFDD" w:val="clear"/>
    </w:rPr>
  </w:style>
  <w:style w:type="character" w:styleId="WW8Num13z2" w:customStyle="1">
    <w:name w:val="WW8Num13z2"/>
    <w:qFormat/>
    <w:rsid w:val="00344c92"/>
    <w:rPr/>
  </w:style>
  <w:style w:type="character" w:styleId="Strong">
    <w:name w:val="Strong"/>
    <w:basedOn w:val="DefaultParagraphFont"/>
    <w:uiPriority w:val="22"/>
    <w:qFormat/>
    <w:rsid w:val="005c44af"/>
    <w:rPr>
      <w:b/>
      <w:bCs/>
    </w:rPr>
  </w:style>
  <w:style w:type="character" w:styleId="PargrafodaListaChar" w:customStyle="1">
    <w:name w:val="Parágrafo da Lista Char"/>
    <w:link w:val="ListParagraph"/>
    <w:qFormat/>
    <w:locked/>
    <w:rsid w:val="001d792a"/>
    <w:rPr>
      <w:rFonts w:ascii="Arial" w:hAnsi="Arial" w:eastAsia="Times New Roman" w:cs="Tahoma"/>
      <w:szCs w:val="24"/>
      <w:lang w:eastAsia="pt-BR"/>
    </w:rPr>
  </w:style>
  <w:style w:type="character" w:styleId="InternetLink1" w:customStyle="1">
    <w:name w:val="Internet Link1"/>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rPr>
  </w:style>
  <w:style w:type="paragraph" w:styleId="ndice" w:customStyle="1">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Lucida Sans"/>
      <w:sz w:val="28"/>
      <w:szCs w:val="28"/>
    </w:rPr>
  </w:style>
  <w:style w:type="paragraph" w:styleId="ndiceuser">
    <w:name w:val="Índice (user)"/>
    <w:basedOn w:val="Normal"/>
    <w:qFormat/>
    <w:pPr>
      <w:suppressLineNumbers/>
    </w:pPr>
    <w:rPr>
      <w:rFonts w:cs="Lucida Sans"/>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9f7713"/>
    <w:pPr>
      <w:spacing w:lineRule="auto" w:line="276" w:before="480" w:after="120"/>
      <w:ind w:right="-15"/>
      <w:jc w:val="both"/>
    </w:pPr>
    <w:rPr>
      <w:rFonts w:ascii="Arial" w:hAnsi="Arial" w:cs="Times New Roman"/>
      <w:b/>
      <w:bCs/>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link w:val="PargrafodaListaChar"/>
    <w:qFormat/>
    <w:rsid w:val="006a70c8"/>
    <w:pPr>
      <w:spacing w:before="0" w:after="0"/>
      <w:ind w:left="72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CommentText">
    <w:name w:val="annotation text"/>
    <w:basedOn w:val="Normal"/>
    <w:link w:val="TextodecomentrioChar"/>
    <w:unhideWhenUsed/>
    <w:qFormat/>
    <w:rsid w:val="003d08af"/>
    <w:pPr/>
    <w:rPr>
      <w:szCs w:val="20"/>
    </w:rPr>
  </w:style>
  <w:style w:type="paragraph" w:styleId="annotationsubject">
    <w:name w:val="annotation subject"/>
    <w:basedOn w:val="CommentText"/>
    <w:next w:val="CommentText"/>
    <w:link w:val="AssuntodocomentrioChar"/>
    <w:uiPriority w:val="99"/>
    <w:semiHidden/>
    <w:unhideWhenUsed/>
    <w:qFormat/>
    <w:rsid w:val="003d08af"/>
    <w:pPr/>
    <w:rPr>
      <w:b/>
      <w:bCs/>
    </w:rPr>
  </w:style>
  <w:style w:type="paragraph" w:styleId="Nivel1" w:customStyle="1">
    <w:name w:val="Nivel1"/>
    <w:basedOn w:val="Heading1"/>
    <w:qFormat/>
    <w:rsid w:val="00fa4ef2"/>
    <w:pPr>
      <w:spacing w:lineRule="auto" w:line="276" w:before="480" w:after="0"/>
      <w:ind w:hanging="360" w:left="644"/>
      <w:jc w:val="both"/>
    </w:pPr>
    <w:rPr>
      <w:rFonts w:ascii="Arial" w:hAnsi="Arial" w:cs="Times New Roman"/>
      <w:b/>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Header">
    <w:name w:val="header"/>
    <w:basedOn w:val="Normal"/>
    <w:link w:val="CabealhoChar"/>
    <w:unhideWhenUsed/>
    <w:rsid w:val="00805244"/>
    <w:pPr>
      <w:tabs>
        <w:tab w:val="clear" w:pos="708"/>
        <w:tab w:val="center" w:pos="4252" w:leader="none"/>
        <w:tab w:val="right" w:pos="8504" w:leader="none"/>
      </w:tabs>
    </w:pPr>
    <w:rPr/>
  </w:style>
  <w:style w:type="paragraph" w:styleId="Footer">
    <w:name w:val="footer"/>
    <w:basedOn w:val="Normal"/>
    <w:link w:val="RodapChar"/>
    <w:uiPriority w:val="99"/>
    <w:unhideWhenUsed/>
    <w:rsid w:val="00805244"/>
    <w:pPr>
      <w:tabs>
        <w:tab w:val="clear" w:pos="708"/>
        <w:tab w:val="center" w:pos="4252" w:leader="none"/>
        <w:tab w:val="right" w:pos="8504" w:leader="none"/>
      </w:tabs>
    </w:pPr>
    <w:rPr/>
  </w:style>
  <w:style w:type="paragraph" w:styleId="Standard" w:customStyle="1">
    <w:name w:val="Standard"/>
    <w:qFormat/>
    <w:rsid w:val="003a33c2"/>
    <w:pPr>
      <w:widowControl/>
      <w:suppressAutoHyphens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Contedodatabela" w:customStyle="1">
    <w:name w:val="Conteúdo da tabela"/>
    <w:basedOn w:val="Normal"/>
    <w:qFormat/>
    <w:rsid w:val="000064f1"/>
    <w:pPr>
      <w:suppressLineNumbers/>
    </w:pPr>
    <w:rPr>
      <w:rFonts w:ascii="Times New Roman" w:hAnsi="Times New Roman" w:cs="Times New Roman"/>
      <w:sz w:val="24"/>
      <w:szCs w:val="20"/>
    </w:rPr>
  </w:style>
  <w:style w:type="paragraph" w:styleId="Aviso-ClusulaPrincipal" w:customStyle="1">
    <w:name w:val="Aviso - Cláusula Principal"/>
    <w:basedOn w:val="Heading1"/>
    <w:qFormat/>
    <w:rsid w:val="000d02c1"/>
    <w:pPr>
      <w:snapToGrid w:val="false"/>
      <w:spacing w:lineRule="auto" w:line="360" w:before="240" w:after="240"/>
      <w:ind w:right="-30"/>
      <w:jc w:val="both"/>
    </w:pPr>
    <w:rPr>
      <w:rFonts w:ascii="Arial" w:hAnsi="Arial" w:eastAsia="Times New Roman" w:cs="Arial"/>
      <w:b/>
      <w:sz w:val="24"/>
      <w:szCs w:val="24"/>
    </w:rPr>
  </w:style>
  <w:style w:type="paragraph" w:styleId="TableParagraph" w:customStyle="1">
    <w:name w:val="Table Paragraph"/>
    <w:basedOn w:val="Normal"/>
    <w:qFormat/>
    <w:rsid w:val="00d86e4d"/>
    <w:pPr>
      <w:widowControl w:val="false"/>
      <w:suppressAutoHyphens w:val="false"/>
    </w:pPr>
    <w:rPr>
      <w:rFonts w:ascii="Calibri" w:hAnsi="Calibri" w:eastAsia="Calibri" w:cs="Calibri"/>
      <w:sz w:val="22"/>
      <w:szCs w:val="22"/>
      <w:lang w:val="pt-PT" w:eastAsia="en-US"/>
    </w:rPr>
  </w:style>
  <w:style w:type="paragraph" w:styleId="Contedodoquadro" w:customStyle="1">
    <w:name w:val="Conteúdo do quadro"/>
    <w:basedOn w:val="Normal"/>
    <w:qFormat/>
    <w:pPr/>
    <w:rPr/>
  </w:style>
  <w:style w:type="numbering" w:styleId="Semlistauser" w:default="1">
    <w:name w:val="Sem lista (user)"/>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3">
    <w:name w:val="Tabela com grade3"/>
    <w:basedOn w:val="Tabelanormal"/>
    <w:uiPriority w:val="59"/>
    <w:rsid w:val="000d02c1"/>
    <w:rPr>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TotalTime>
  <Application>LibreOffice/26.2.3.2$Windows_X86_64 LibreOffice_project/70e089b17412e4cb7773e41413306b17a2328c34</Application>
  <AppVersion>15.0000</AppVersion>
  <Pages>10</Pages>
  <Words>4686</Words>
  <Characters>26967</Characters>
  <CharactersWithSpaces>31341</CharactersWithSpaces>
  <Paragraphs>196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2024-02-27T18:18:00Z</dcterms:created>
  <dc:creator>Hugo Sales</dc:creator>
  <dc:description/>
  <dc:language>pt-BR</dc:language>
  <cp:lastModifiedBy/>
  <cp:lastPrinted>2026-05-12T13:34:29Z</cp:lastPrinted>
  <dcterms:modified xsi:type="dcterms:W3CDTF">2026-05-12T13:35:45Z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